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10680" w14:textId="717EEC65" w:rsidR="00FA474C" w:rsidRPr="002B54D2" w:rsidRDefault="002B54D2" w:rsidP="00FA474C">
      <w:pPr>
        <w:spacing w:after="0"/>
        <w:rPr>
          <w:rFonts w:ascii="Times New Roman" w:hAnsi="Times New Roman" w:cs="Times New Roman"/>
          <w:i/>
          <w:sz w:val="21"/>
          <w:szCs w:val="21"/>
          <w:lang w:val="en-GB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>–</w:t>
      </w:r>
      <w:r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bookmarkStart w:id="0" w:name="_GoBack"/>
      <w:bookmarkEnd w:id="0"/>
      <w:r w:rsidR="00FA474C" w:rsidRPr="002B54D2">
        <w:rPr>
          <w:rFonts w:ascii="Times New Roman" w:hAnsi="Times New Roman" w:cs="Times New Roman"/>
          <w:i/>
          <w:sz w:val="21"/>
          <w:szCs w:val="21"/>
          <w:lang w:val="en-GB"/>
        </w:rPr>
        <w:t xml:space="preserve">Becoming Black Political Subjects: Movements and Ethno-Racial Rights in Colombia and Brazil, </w:t>
      </w:r>
      <w:r w:rsidR="00FA474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by Tianna S. </w:t>
      </w:r>
      <w:proofErr w:type="spellStart"/>
      <w:r w:rsidR="00FA474C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FA474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Princeton University Press, 2016. </w:t>
      </w:r>
    </w:p>
    <w:p w14:paraId="318D12A9" w14:textId="77777777" w:rsidR="00FA474C" w:rsidRPr="002B54D2" w:rsidRDefault="00FA474C" w:rsidP="00F030D0">
      <w:pPr>
        <w:spacing w:after="0"/>
        <w:rPr>
          <w:rFonts w:ascii="Times New Roman" w:hAnsi="Times New Roman" w:cs="Times New Roman"/>
          <w:i/>
          <w:iCs/>
          <w:sz w:val="21"/>
          <w:szCs w:val="21"/>
          <w:lang w:val="en-GB"/>
        </w:rPr>
      </w:pPr>
    </w:p>
    <w:p w14:paraId="1C196B81" w14:textId="1D6874F7" w:rsidR="004844E1" w:rsidRPr="002B54D2" w:rsidRDefault="003E2893" w:rsidP="009500E4">
      <w:pPr>
        <w:spacing w:after="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In Brazil and Colombia alike, </w:t>
      </w:r>
      <w:r w:rsidR="00A754B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Afro-descendants have been substantially included in ethno-racial reforms. In </w:t>
      </w:r>
      <w:r w:rsidR="00876602" w:rsidRPr="002B54D2">
        <w:rPr>
          <w:rFonts w:ascii="Times New Roman" w:hAnsi="Times New Roman" w:cs="Times New Roman"/>
          <w:i/>
          <w:sz w:val="21"/>
          <w:szCs w:val="21"/>
          <w:lang w:val="en-GB"/>
        </w:rPr>
        <w:t>Becoming Black Political Subjects</w:t>
      </w:r>
      <w:r w:rsidR="00A754B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Tianna </w:t>
      </w:r>
      <w:proofErr w:type="spellStart"/>
      <w:r w:rsidR="00A754B0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A754B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sets out the rationales and peculiarities of </w:t>
      </w:r>
      <w:r w:rsidR="00037C0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this inclusion. </w:t>
      </w:r>
      <w:r w:rsidR="003B5A3A" w:rsidRPr="002B54D2">
        <w:rPr>
          <w:rFonts w:ascii="Times New Roman" w:hAnsi="Times New Roman" w:cs="Times New Roman"/>
          <w:sz w:val="21"/>
          <w:szCs w:val="21"/>
          <w:lang w:val="en-GB"/>
        </w:rPr>
        <w:t>Her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comparative 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>analysis</w:t>
      </w:r>
      <w:r w:rsidR="003B5A3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is threefold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First, 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she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6B0FB2" w:rsidRPr="002B54D2">
        <w:rPr>
          <w:rFonts w:ascii="Times New Roman" w:hAnsi="Times New Roman" w:cs="Times New Roman"/>
          <w:sz w:val="21"/>
          <w:szCs w:val="21"/>
          <w:lang w:val="en-GB"/>
        </w:rPr>
        <w:t>explores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 conundrum of </w:t>
      </w:r>
      <w:r w:rsidR="00DD4D5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why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Colombia and Brazil </w:t>
      </w:r>
      <w:r w:rsidR="000113F8" w:rsidRPr="002B54D2">
        <w:rPr>
          <w:rFonts w:ascii="Times New Roman" w:hAnsi="Times New Roman" w:cs="Times New Roman"/>
          <w:sz w:val="21"/>
          <w:szCs w:val="21"/>
          <w:lang w:val="en-GB"/>
        </w:rPr>
        <w:t>adopted black</w:t>
      </w:r>
      <w:r w:rsidR="006B0FB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113F8" w:rsidRPr="002B54D2">
        <w:rPr>
          <w:rFonts w:ascii="Times New Roman" w:hAnsi="Times New Roman" w:cs="Times New Roman"/>
          <w:sz w:val="21"/>
          <w:szCs w:val="21"/>
          <w:lang w:val="en-GB"/>
        </w:rPr>
        <w:t>rights. N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ot only were these rights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counterintuitive to </w:t>
      </w:r>
      <w:r w:rsidR="000113F8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their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earlier insi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stence on </w:t>
      </w:r>
      <w:proofErr w:type="spellStart"/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colorblindness</w:t>
      </w:r>
      <w:proofErr w:type="spellEnd"/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and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un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i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versal citizenship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,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>the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black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movements 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advocating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for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such legislation seemed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hardly 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forces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to be reckoned with</w:t>
      </w:r>
      <w:r w:rsidR="006B0FB2" w:rsidRPr="002B54D2">
        <w:rPr>
          <w:rFonts w:ascii="Times New Roman" w:hAnsi="Times New Roman" w:cs="Times New Roman"/>
          <w:sz w:val="21"/>
          <w:szCs w:val="21"/>
          <w:lang w:val="en-GB"/>
        </w:rPr>
        <w:t>;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lacking </w:t>
      </w:r>
      <w:r w:rsidR="006B0FB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in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size, resources, allies, and popularity.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Second, </w:t>
      </w:r>
      <w:proofErr w:type="spellStart"/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scrutinizes why 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specific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rights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for black populations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have taken on such distinctive contours in Colombia and Brazil, 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despite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>the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countries’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comparable histories of slavery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proofErr w:type="spellStart"/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>mestiz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aje</w:t>
      </w:r>
      <w:proofErr w:type="spellEnd"/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, and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567D5A" w:rsidRPr="002B54D2">
        <w:rPr>
          <w:rFonts w:ascii="Times New Roman" w:hAnsi="Times New Roman" w:cs="Times New Roman"/>
          <w:i/>
          <w:sz w:val="21"/>
          <w:szCs w:val="21"/>
          <w:lang w:val="en-GB"/>
        </w:rPr>
        <w:t>conversion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to 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ethno-racial 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reforms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Third, 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she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looks at</w:t>
      </w:r>
      <w:r w:rsidR="004844E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 aftermath of the reforms, </w:t>
      </w:r>
      <w:r w:rsidR="00567D5A" w:rsidRPr="002B54D2">
        <w:rPr>
          <w:rFonts w:ascii="Times New Roman" w:hAnsi="Times New Roman" w:cs="Times New Roman"/>
          <w:sz w:val="21"/>
          <w:szCs w:val="21"/>
          <w:lang w:val="en-GB"/>
        </w:rPr>
        <w:t>exploring their social and political effects.</w:t>
      </w:r>
    </w:p>
    <w:p w14:paraId="0AEE9927" w14:textId="0B2DDAC3" w:rsidR="0018131F" w:rsidRPr="002B54D2" w:rsidRDefault="000D75B5" w:rsidP="004A1C8D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To understand why and how black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political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subjects became institutionalized,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adop</w:t>
      </w:r>
      <w:r w:rsidR="008D7E27" w:rsidRPr="002B54D2">
        <w:rPr>
          <w:rFonts w:ascii="Times New Roman" w:hAnsi="Times New Roman" w:cs="Times New Roman"/>
          <w:sz w:val="21"/>
          <w:szCs w:val="21"/>
          <w:lang w:val="en-GB"/>
        </w:rPr>
        <w:t>ts a tran</w:t>
      </w:r>
      <w:r w:rsidR="008D7E27" w:rsidRPr="002B54D2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8D7E2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national perspective. </w:t>
      </w:r>
      <w:r w:rsidR="0084710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In the introductory chapter, 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>we learn</w:t>
      </w:r>
      <w:r w:rsidR="008D7E2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that 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>ethno-racial reforms became possible and u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>n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folded </w:t>
      </w:r>
      <w:r w:rsidR="008D7E27" w:rsidRPr="002B54D2">
        <w:rPr>
          <w:rFonts w:ascii="Times New Roman" w:hAnsi="Times New Roman" w:cs="Times New Roman"/>
          <w:sz w:val="21"/>
          <w:szCs w:val="21"/>
          <w:lang w:val="en-GB"/>
        </w:rPr>
        <w:t>at the intersection of extra- and intra-national events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or, as </w:t>
      </w:r>
      <w:proofErr w:type="spellStart"/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puts it, in moments of </w:t>
      </w:r>
      <w:r w:rsidR="004A1C8D" w:rsidRPr="002B54D2">
        <w:rPr>
          <w:rFonts w:ascii="Times New Roman" w:hAnsi="Times New Roman" w:cs="Times New Roman"/>
          <w:i/>
          <w:sz w:val="21"/>
          <w:szCs w:val="21"/>
          <w:lang w:val="en-GB"/>
        </w:rPr>
        <w:t>political field alignment</w:t>
      </w:r>
      <w:r w:rsidR="004A1C8D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: “when the conditions of possibility in global fields and domestic political fields converge” (p. 19). </w:t>
      </w:r>
      <w:r w:rsidR="00470EBC" w:rsidRPr="002B54D2">
        <w:rPr>
          <w:rFonts w:ascii="Times New Roman" w:hAnsi="Times New Roman" w:cs="Times New Roman"/>
          <w:sz w:val="21"/>
          <w:szCs w:val="21"/>
          <w:lang w:val="en-GB"/>
        </w:rPr>
        <w:t>The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interplay between global and national </w:t>
      </w:r>
      <w:r w:rsidR="0086470A" w:rsidRPr="002B54D2">
        <w:rPr>
          <w:rFonts w:ascii="Times New Roman" w:hAnsi="Times New Roman" w:cs="Times New Roman"/>
          <w:sz w:val="21"/>
          <w:szCs w:val="21"/>
          <w:lang w:val="en-GB"/>
        </w:rPr>
        <w:t>dynamics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runs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like a red thread throughout the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subsequent chapters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Chapter 2 touches </w:t>
      </w:r>
      <w:r w:rsidR="0015667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upon the </w:t>
      </w:r>
      <w:proofErr w:type="spellStart"/>
      <w:r w:rsidR="00156671" w:rsidRPr="002B54D2">
        <w:rPr>
          <w:rFonts w:ascii="Times New Roman" w:hAnsi="Times New Roman" w:cs="Times New Roman"/>
          <w:sz w:val="21"/>
          <w:szCs w:val="21"/>
          <w:lang w:val="en-GB"/>
        </w:rPr>
        <w:t>mestizaje</w:t>
      </w:r>
      <w:proofErr w:type="spellEnd"/>
      <w:r w:rsidR="0015667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politics that preceded</w:t>
      </w:r>
      <w:r w:rsidR="003A174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>today’s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citizenship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frameworks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It shows that w</w:t>
      </w:r>
      <w:r w:rsidR="0086470A" w:rsidRPr="002B54D2">
        <w:rPr>
          <w:rFonts w:ascii="Times New Roman" w:hAnsi="Times New Roman" w:cs="Times New Roman"/>
          <w:sz w:val="21"/>
          <w:szCs w:val="21"/>
          <w:lang w:val="en-GB"/>
        </w:rPr>
        <w:t>hile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70EBC" w:rsidRPr="002B54D2">
        <w:rPr>
          <w:rFonts w:ascii="Times New Roman" w:hAnsi="Times New Roman" w:cs="Times New Roman"/>
          <w:sz w:val="21"/>
          <w:szCs w:val="21"/>
          <w:lang w:val="en-GB"/>
        </w:rPr>
        <w:t>post-independence</w:t>
      </w:r>
      <w:r w:rsidR="0086470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Brazil and Colombia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both</w:t>
      </w:r>
      <w:r w:rsidR="0086470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clung onto 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>ideologies of miscegenation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in reaction to E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>u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>ro-American racism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>they ended up locating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>Afro-descendants</w:t>
      </w:r>
      <w:r w:rsidR="0015667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in variegated slots of otherness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Whereas in Brazil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>black citizens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were central to the nationalist narrative of racial democracy, in Colombia they remained symbolically excluded from ideas of nationhood. </w:t>
      </w:r>
      <w:r w:rsidR="002A0704" w:rsidRPr="002B54D2">
        <w:rPr>
          <w:rFonts w:ascii="Times New Roman" w:hAnsi="Times New Roman" w:cs="Times New Roman"/>
          <w:sz w:val="21"/>
          <w:szCs w:val="21"/>
          <w:lang w:val="en-GB"/>
        </w:rPr>
        <w:t>Chapter 3 builds on this historical analysis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and examines </w:t>
      </w:r>
      <w:r w:rsidR="0018131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 emergence of </w:t>
      </w:r>
      <w:r w:rsidR="0068786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black social movements 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>as well as</w:t>
      </w:r>
      <w:r w:rsidR="00A95B2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their struggle to </w:t>
      </w:r>
      <w:r w:rsidR="0018131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gain </w:t>
      </w:r>
      <w:r w:rsidR="00A95B2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political </w:t>
      </w:r>
      <w:r w:rsidR="0018131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ground in </w:t>
      </w:r>
      <w:r w:rsidR="006479E4" w:rsidRPr="002B54D2">
        <w:rPr>
          <w:rFonts w:ascii="Times New Roman" w:hAnsi="Times New Roman" w:cs="Times New Roman"/>
          <w:sz w:val="21"/>
          <w:szCs w:val="21"/>
          <w:lang w:val="en-GB"/>
        </w:rPr>
        <w:t>discursive</w:t>
      </w:r>
      <w:r w:rsidR="00A95B2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18131F" w:rsidRPr="002B54D2">
        <w:rPr>
          <w:rFonts w:ascii="Times New Roman" w:hAnsi="Times New Roman" w:cs="Times New Roman"/>
          <w:sz w:val="21"/>
          <w:szCs w:val="21"/>
          <w:lang w:val="en-GB"/>
        </w:rPr>
        <w:t>terrain</w:t>
      </w:r>
      <w:r w:rsidR="00A95B2B" w:rsidRPr="002B54D2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18131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of racial equality.</w:t>
      </w:r>
    </w:p>
    <w:p w14:paraId="1589A6A8" w14:textId="15252215" w:rsidR="002070BE" w:rsidRPr="002B54D2" w:rsidRDefault="0018131F" w:rsidP="002B3A34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 next two chapters (4, 5) </w:t>
      </w:r>
      <w:r w:rsidR="00AF5E7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illustrate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how black movements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succeeded in obtaining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ethno-racial rights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by seizing the opportunities provided by transnational norm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 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of cultural difference and racial equality. Moving beyond the scholastic persistence to link Afro-Indigenous rights to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a single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59395C" w:rsidRPr="002B54D2">
        <w:rPr>
          <w:rFonts w:ascii="Times New Roman" w:hAnsi="Times New Roman" w:cs="Times New Roman"/>
          <w:i/>
          <w:sz w:val="21"/>
          <w:szCs w:val="21"/>
          <w:lang w:val="en-GB"/>
        </w:rPr>
        <w:t>multicultural turn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proofErr w:type="spellStart"/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identifies two global-domestic alignments: the </w:t>
      </w:r>
      <w:r w:rsidR="0059395C" w:rsidRPr="002B54D2">
        <w:rPr>
          <w:rFonts w:ascii="Times New Roman" w:hAnsi="Times New Roman" w:cs="Times New Roman"/>
          <w:i/>
          <w:sz w:val="21"/>
          <w:szCs w:val="21"/>
          <w:lang w:val="en-GB"/>
        </w:rPr>
        <w:t>multicultural alignment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65A91" w:rsidRPr="002B54D2">
        <w:rPr>
          <w:rFonts w:ascii="Times New Roman" w:hAnsi="Times New Roman" w:cs="Times New Roman"/>
          <w:sz w:val="21"/>
          <w:szCs w:val="21"/>
          <w:lang w:val="en-GB"/>
        </w:rPr>
        <w:t>(</w:t>
      </w:r>
      <w:r w:rsidR="0059395C" w:rsidRPr="002B54D2">
        <w:rPr>
          <w:rFonts w:ascii="Times New Roman" w:hAnsi="Times New Roman" w:cs="Times New Roman"/>
          <w:sz w:val="21"/>
          <w:szCs w:val="21"/>
          <w:lang w:val="en-GB"/>
        </w:rPr>
        <w:t>1980s-1990s</w:t>
      </w:r>
      <w:r w:rsidR="00065A91" w:rsidRPr="002B54D2">
        <w:rPr>
          <w:rFonts w:ascii="Times New Roman" w:hAnsi="Times New Roman" w:cs="Times New Roman"/>
          <w:sz w:val="21"/>
          <w:szCs w:val="21"/>
          <w:lang w:val="en-GB"/>
        </w:rPr>
        <w:t>)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>, which particularly held sway in Colombia</w:t>
      </w:r>
      <w:r w:rsidR="00F1301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and ignited 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 allocation of collective lands to Afro-descendants, 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and the </w:t>
      </w:r>
      <w:r w:rsidR="00A95D1B" w:rsidRPr="002B54D2">
        <w:rPr>
          <w:rFonts w:ascii="Times New Roman" w:hAnsi="Times New Roman" w:cs="Times New Roman"/>
          <w:i/>
          <w:sz w:val="21"/>
          <w:szCs w:val="21"/>
          <w:lang w:val="en-GB"/>
        </w:rPr>
        <w:t>racial equality alignment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(2000s-2010s)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which 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on its turn mainly 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>impacted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Brazil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>, translating into a robust set of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affirmative action 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>policies</w:t>
      </w:r>
      <w:r w:rsidR="00A95D1B" w:rsidRPr="002B54D2">
        <w:rPr>
          <w:rFonts w:ascii="Times New Roman" w:hAnsi="Times New Roman" w:cs="Times New Roman"/>
          <w:sz w:val="21"/>
          <w:szCs w:val="21"/>
          <w:lang w:val="en-GB"/>
        </w:rPr>
        <w:t>.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AF5E73" w:rsidRPr="002B54D2">
        <w:rPr>
          <w:rFonts w:ascii="Times New Roman" w:hAnsi="Times New Roman" w:cs="Times New Roman"/>
          <w:sz w:val="21"/>
          <w:szCs w:val="21"/>
          <w:lang w:val="en-GB"/>
        </w:rPr>
        <w:t>While</w:t>
      </w:r>
      <w:r w:rsidR="00065A9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state fragmentation and the symbolism attributed to Afro-Colombians made </w:t>
      </w:r>
      <w:r w:rsidR="00065A9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Colombia more susceptible to 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>the earlier phase of culture politics</w:t>
      </w:r>
      <w:r w:rsidR="00AF5E7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2070B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the anti-racism strategies and political connections of the Afro-Brazilian movement made racial equality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laws</w:t>
      </w:r>
      <w:r w:rsidR="002070B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B3A34" w:rsidRPr="002B54D2">
        <w:rPr>
          <w:rFonts w:ascii="Times New Roman" w:hAnsi="Times New Roman" w:cs="Times New Roman"/>
          <w:sz w:val="21"/>
          <w:szCs w:val="21"/>
          <w:lang w:val="en-GB"/>
        </w:rPr>
        <w:t>especially</w:t>
      </w:r>
      <w:r w:rsidR="002070B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pronounced in Brazil.</w:t>
      </w:r>
    </w:p>
    <w:p w14:paraId="2F5E623C" w14:textId="1B1A7463" w:rsidR="004F355C" w:rsidRPr="002B54D2" w:rsidRDefault="00065A91" w:rsidP="00134C61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>Hereafter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,</w:t>
      </w:r>
      <w:r w:rsidR="00F70E5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we arrive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at the actual implementation of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>legislation</w:t>
      </w:r>
      <w:r w:rsidR="00F70E5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In Chapter 6, </w:t>
      </w:r>
      <w:proofErr w:type="spellStart"/>
      <w:r w:rsidR="00F70E5E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F70E5E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6E52EB" w:rsidRPr="002B54D2">
        <w:rPr>
          <w:rFonts w:ascii="Times New Roman" w:hAnsi="Times New Roman" w:cs="Times New Roman"/>
          <w:sz w:val="21"/>
          <w:szCs w:val="21"/>
          <w:lang w:val="en-GB"/>
        </w:rPr>
        <w:t>sketches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how black movements walk a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political tightrope </w:t>
      </w:r>
      <w:r w:rsidR="00F70E5E" w:rsidRPr="002B54D2">
        <w:rPr>
          <w:rFonts w:ascii="Times New Roman" w:hAnsi="Times New Roman" w:cs="Times New Roman"/>
          <w:sz w:val="21"/>
          <w:szCs w:val="21"/>
          <w:lang w:val="en-GB"/>
        </w:rPr>
        <w:t>between acquiring resources from the state and facing bureaucratic co-option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This </w:t>
      </w:r>
      <w:proofErr w:type="spellStart"/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skeptical</w:t>
      </w:r>
      <w:proofErr w:type="spellEnd"/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>tenor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>continues i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nto 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>Chapter 7</w:t>
      </w:r>
      <w:r w:rsidR="005A517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wherein </w:t>
      </w:r>
      <w:proofErr w:type="spellStart"/>
      <w:r w:rsidR="005A5173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5A517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>draws</w:t>
      </w:r>
      <w:r w:rsidR="006E52E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attention to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how t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>he reforms’ transformative potential has been jeopardized by competing economic intere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>sts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D526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Finally, 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>the concluding cha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>p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ter (8) provides an overview of the 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ethnography’s numerous theoretical contributions, </w:t>
      </w:r>
      <w:r w:rsidR="004F355C" w:rsidRPr="002B54D2">
        <w:rPr>
          <w:rFonts w:ascii="Times New Roman" w:hAnsi="Times New Roman" w:cs="Times New Roman"/>
          <w:sz w:val="21"/>
          <w:szCs w:val="21"/>
          <w:lang w:val="en-GB"/>
        </w:rPr>
        <w:t>which relate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to </w:t>
      </w:r>
      <w:r w:rsidR="00F26BE6" w:rsidRPr="002B54D2">
        <w:rPr>
          <w:rFonts w:ascii="Times New Roman" w:hAnsi="Times New Roman" w:cs="Times New Roman"/>
          <w:sz w:val="21"/>
          <w:szCs w:val="21"/>
          <w:lang w:val="en-GB"/>
        </w:rPr>
        <w:t>social movement theory and race/ethnicity studies.</w:t>
      </w:r>
    </w:p>
    <w:p w14:paraId="563B1F80" w14:textId="04CDF718" w:rsidR="00530D34" w:rsidRPr="002B54D2" w:rsidRDefault="00A95B2B" w:rsidP="00134C61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>Documenting the</w:t>
      </w:r>
      <w:r w:rsidR="0010564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shift towards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ethno-racial reforms in two </w:t>
      </w:r>
      <w:r w:rsidR="00105646" w:rsidRPr="002B54D2">
        <w:rPr>
          <w:rFonts w:ascii="Times New Roman" w:hAnsi="Times New Roman" w:cs="Times New Roman"/>
          <w:sz w:val="21"/>
          <w:szCs w:val="21"/>
          <w:lang w:val="en-GB"/>
        </w:rPr>
        <w:t>countries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seems an ambitious task, but it is exceptio</w:t>
      </w:r>
      <w:r w:rsidR="00B91B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nally well taken on by </w:t>
      </w:r>
      <w:proofErr w:type="spellStart"/>
      <w:r w:rsidR="00B91BB4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B91BB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By keeping an eye open for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ideological and institutional changes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lying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beyond the nation-state,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she</w:t>
      </w:r>
      <w:r w:rsidR="008169F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A6E7A" w:rsidRPr="002B54D2">
        <w:rPr>
          <w:rFonts w:ascii="Times New Roman" w:hAnsi="Times New Roman" w:cs="Times New Roman"/>
          <w:sz w:val="21"/>
          <w:szCs w:val="21"/>
          <w:lang w:val="en-GB"/>
        </w:rPr>
        <w:t>merges</w:t>
      </w:r>
      <w:r w:rsidR="008169F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both cases into one coherent narrative. </w:t>
      </w:r>
      <w:r w:rsidR="00105646" w:rsidRPr="002B54D2">
        <w:rPr>
          <w:rFonts w:ascii="Times New Roman" w:hAnsi="Times New Roman" w:cs="Times New Roman"/>
          <w:sz w:val="21"/>
          <w:szCs w:val="21"/>
          <w:lang w:val="en-GB"/>
        </w:rPr>
        <w:t>What is more, by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connecting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>the substanti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al 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achievements of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>marginalized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black movements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3F30EF" w:rsidRPr="002B54D2">
        <w:rPr>
          <w:rFonts w:ascii="Times New Roman" w:hAnsi="Times New Roman" w:cs="Times New Roman"/>
          <w:sz w:val="21"/>
          <w:szCs w:val="21"/>
          <w:lang w:val="en-GB"/>
        </w:rPr>
        <w:t>to</w:t>
      </w:r>
      <w:r w:rsidR="000F07F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54349" w:rsidRPr="002B54D2">
        <w:rPr>
          <w:rFonts w:ascii="Times New Roman" w:hAnsi="Times New Roman" w:cs="Times New Roman"/>
          <w:sz w:val="21"/>
          <w:szCs w:val="21"/>
          <w:lang w:val="en-GB"/>
        </w:rPr>
        <w:t>transnational discourses of multicu</w:t>
      </w:r>
      <w:r w:rsidR="00B9691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lturalism and racial equality, </w:t>
      </w:r>
      <w:proofErr w:type="spellStart"/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convincingly lays bare the limitations of state- and activist-centric theories of social movements.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54349" w:rsidRPr="002B54D2">
        <w:rPr>
          <w:rFonts w:ascii="Times New Roman" w:hAnsi="Times New Roman" w:cs="Times New Roman"/>
          <w:sz w:val="21"/>
          <w:szCs w:val="21"/>
          <w:lang w:val="en-GB"/>
        </w:rPr>
        <w:t>Yet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327EF3" w:rsidRPr="002B54D2">
        <w:rPr>
          <w:rFonts w:ascii="Times New Roman" w:hAnsi="Times New Roman" w:cs="Times New Roman"/>
          <w:sz w:val="21"/>
          <w:szCs w:val="21"/>
          <w:lang w:val="en-GB"/>
        </w:rPr>
        <w:t>she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d</w:t>
      </w:r>
      <w:r w:rsidR="004A6E7A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oes not lose sight on the importance of </w:t>
      </w:r>
      <w:r w:rsidR="00530D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domestic </w:t>
      </w:r>
      <w:r w:rsidR="004A6E7A" w:rsidRPr="002B54D2">
        <w:rPr>
          <w:rFonts w:ascii="Times New Roman" w:hAnsi="Times New Roman" w:cs="Times New Roman"/>
          <w:sz w:val="21"/>
          <w:szCs w:val="21"/>
          <w:lang w:val="en-GB"/>
        </w:rPr>
        <w:t>politi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>cs</w:t>
      </w:r>
      <w:r w:rsidR="00327EF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either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>.</w:t>
      </w:r>
      <w:r w:rsidR="00530D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In 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her historical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descri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p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tions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o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>f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 </w:t>
      </w:r>
      <w:r w:rsidR="00327EF3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relationships 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>between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 two</w:t>
      </w:r>
      <w:r w:rsidR="00AE6DF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states and black movements 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– wherein canonical events seamlessly blend with quotations – </w:t>
      </w:r>
      <w:proofErr w:type="spellStart"/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meticulously</w:t>
      </w:r>
      <w:r w:rsidR="00E5434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>details</w:t>
      </w:r>
      <w:r w:rsidR="00530D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 particularities of 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>both Brazil and Colombia</w:t>
      </w:r>
      <w:r w:rsidR="00530D34" w:rsidRPr="002B54D2">
        <w:rPr>
          <w:rFonts w:ascii="Times New Roman" w:hAnsi="Times New Roman" w:cs="Times New Roman"/>
          <w:sz w:val="21"/>
          <w:szCs w:val="21"/>
          <w:lang w:val="en-GB"/>
        </w:rPr>
        <w:t>.</w:t>
      </w:r>
      <w:r w:rsidR="00E5434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14:paraId="7422DD9C" w14:textId="4537696A" w:rsidR="00940E3B" w:rsidRPr="002B54D2" w:rsidRDefault="00E54349" w:rsidP="00503AD2">
      <w:pPr>
        <w:spacing w:after="0"/>
        <w:ind w:firstLine="72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That said,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two modest critiques on the Colombian analysis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seem</w:t>
      </w:r>
      <w:r w:rsidR="00530D34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in place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.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For one, I find the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section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311DD8" w:rsidRPr="002B54D2">
        <w:rPr>
          <w:rFonts w:ascii="Times New Roman" w:hAnsi="Times New Roman" w:cs="Times New Roman"/>
          <w:sz w:val="21"/>
          <w:szCs w:val="21"/>
          <w:lang w:val="en-GB"/>
        </w:rPr>
        <w:t>on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mining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somewhat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>meager</w:t>
      </w:r>
      <w:proofErr w:type="spellEnd"/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especially given the vastness </w:t>
      </w:r>
      <w:r w:rsidR="006E52EB" w:rsidRPr="002B54D2">
        <w:rPr>
          <w:rFonts w:ascii="Times New Roman" w:hAnsi="Times New Roman" w:cs="Times New Roman"/>
          <w:sz w:val="21"/>
          <w:szCs w:val="21"/>
          <w:lang w:val="en-GB"/>
        </w:rPr>
        <w:t>with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which gold extraction has 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transformed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Afro-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lastRenderedPageBreak/>
        <w:t>Colombian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830A4B" w:rsidRPr="002B54D2">
        <w:rPr>
          <w:rFonts w:ascii="Times New Roman" w:hAnsi="Times New Roman" w:cs="Times New Roman"/>
          <w:sz w:val="21"/>
          <w:szCs w:val="21"/>
          <w:lang w:val="en-GB"/>
        </w:rPr>
        <w:t>livelihoods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in the </w:t>
      </w:r>
      <w:r w:rsidR="006E52EB" w:rsidRPr="002B54D2">
        <w:rPr>
          <w:rFonts w:ascii="Times New Roman" w:hAnsi="Times New Roman" w:cs="Times New Roman"/>
          <w:sz w:val="21"/>
          <w:szCs w:val="21"/>
          <w:lang w:val="en-GB"/>
        </w:rPr>
        <w:t>past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730D37" w:rsidRPr="002B54D2">
        <w:rPr>
          <w:rFonts w:ascii="Times New Roman" w:hAnsi="Times New Roman" w:cs="Times New Roman"/>
          <w:sz w:val="21"/>
          <w:szCs w:val="21"/>
          <w:lang w:val="en-GB"/>
        </w:rPr>
        <w:t>10-15 years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proofErr w:type="spellStart"/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describes mining operations in rather unspecific terms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S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he </w:t>
      </w:r>
      <w:r w:rsidR="00AC1C0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brusquely 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bundles corporate and informal mining together as “the inevitable outcome of capitalist expa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n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sion” (p. 195) and is silent on the distinctive ways in which the two forms of mining affect rural communities.</w:t>
      </w:r>
      <w:r w:rsidR="008858FD" w:rsidRPr="002B54D2">
        <w:rPr>
          <w:rFonts w:ascii="Times New Roman" w:hAnsi="Times New Roman" w:cs="Times New Roman"/>
          <w:sz w:val="21"/>
          <w:szCs w:val="21"/>
          <w:vertAlign w:val="superscript"/>
          <w:lang w:val="en-GB"/>
        </w:rPr>
        <w:t>1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9153C" w:rsidRPr="002B54D2">
        <w:rPr>
          <w:rFonts w:ascii="Times New Roman" w:hAnsi="Times New Roman" w:cs="Times New Roman"/>
          <w:sz w:val="21"/>
          <w:szCs w:val="21"/>
          <w:lang w:val="en-GB"/>
        </w:rPr>
        <w:t>Also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>, i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n explaining why multicultural reforms happened, the ethnography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is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thin on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examining</w:t>
      </w:r>
      <w:r w:rsidR="00F13016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how 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>Afro-Colombian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land rights 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are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concomitant with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governmental and capitalist expansion (see Asher and Ojeda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,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2009; 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Cárdenas</w:t>
      </w:r>
      <w:r w:rsidR="00311DD8" w:rsidRPr="002B54D2">
        <w:rPr>
          <w:rFonts w:ascii="Times New Roman" w:hAnsi="Times New Roman" w:cs="Times New Roman"/>
          <w:sz w:val="21"/>
          <w:szCs w:val="21"/>
          <w:lang w:val="en-GB"/>
        </w:rPr>
        <w:t>, 20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12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).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Granted, </w:t>
      </w:r>
      <w:proofErr w:type="spellStart"/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>P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aschel</w:t>
      </w:r>
      <w:proofErr w:type="spellEnd"/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does make 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>the claim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that “collective titling was necessary for the la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t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er expansion of capitalism in these areas” (p. 190), </w:t>
      </w:r>
      <w:r w:rsidR="00EA6C7F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but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she leaves this relationship </w:t>
      </w:r>
      <w:r w:rsidR="00AC1C00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analytically and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>empirically unexplored.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I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>n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fact, in</w:t>
      </w:r>
      <w:r w:rsidR="002640A9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Chapter 7 she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shows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>how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state-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facilitated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capitalism wreaks havoc on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the implement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>a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>tion of collective land tenure</w:t>
      </w:r>
      <w:r w:rsidR="00940E3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which one </w:t>
      </w:r>
      <w:r w:rsidR="00134C61" w:rsidRPr="002B54D2">
        <w:rPr>
          <w:rFonts w:ascii="Times New Roman" w:hAnsi="Times New Roman" w:cs="Times New Roman"/>
          <w:sz w:val="21"/>
          <w:szCs w:val="21"/>
          <w:lang w:val="en-GB"/>
        </w:rPr>
        <w:t>can also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014F33" w:rsidRPr="002B54D2">
        <w:rPr>
          <w:rFonts w:ascii="Times New Roman" w:hAnsi="Times New Roman" w:cs="Times New Roman"/>
          <w:sz w:val="21"/>
          <w:szCs w:val="21"/>
          <w:lang w:val="en-GB"/>
        </w:rPr>
        <w:t>take</w:t>
      </w:r>
      <w:r w:rsidR="00477A7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as 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counter-evidence to 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the</w:t>
      </w:r>
      <w:r w:rsidR="0074412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="00A568C6" w:rsidRPr="002B54D2">
        <w:rPr>
          <w:rFonts w:ascii="Times New Roman" w:hAnsi="Times New Roman" w:cs="Times New Roman"/>
          <w:sz w:val="21"/>
          <w:szCs w:val="21"/>
          <w:lang w:val="en-GB"/>
        </w:rPr>
        <w:t>here</w:t>
      </w:r>
      <w:r w:rsidR="0074412B" w:rsidRPr="002B54D2">
        <w:rPr>
          <w:rFonts w:ascii="Times New Roman" w:hAnsi="Times New Roman" w:cs="Times New Roman"/>
          <w:sz w:val="21"/>
          <w:szCs w:val="21"/>
          <w:lang w:val="en-GB"/>
        </w:rPr>
        <w:t>-</w:t>
      </w:r>
      <w:r w:rsidR="00503AD2" w:rsidRPr="002B54D2">
        <w:rPr>
          <w:rFonts w:ascii="Times New Roman" w:hAnsi="Times New Roman" w:cs="Times New Roman"/>
          <w:sz w:val="21"/>
          <w:szCs w:val="21"/>
          <w:lang w:val="en-GB"/>
        </w:rPr>
        <w:t>cited</w:t>
      </w:r>
      <w:r w:rsidR="0074412B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claim.</w:t>
      </w:r>
      <w:r w:rsidR="00486B25"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</w:p>
    <w:p w14:paraId="440479B2" w14:textId="282B89C7" w:rsidR="00486B25" w:rsidRPr="002B54D2" w:rsidRDefault="00486B25" w:rsidP="004F355C">
      <w:pPr>
        <w:spacing w:after="0"/>
        <w:rPr>
          <w:rFonts w:ascii="Times New Roman" w:hAnsi="Times New Roman" w:cs="Times New Roman"/>
          <w:sz w:val="21"/>
          <w:szCs w:val="21"/>
          <w:lang w:val="en-GB"/>
        </w:rPr>
      </w:pPr>
    </w:p>
    <w:p w14:paraId="29515CC1" w14:textId="022D0C0E" w:rsidR="00C2567C" w:rsidRPr="002B54D2" w:rsidRDefault="00C2567C" w:rsidP="004F355C">
      <w:pPr>
        <w:spacing w:after="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Jesse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J</w:t>
      </w:r>
      <w:r w:rsidR="002B54D2" w:rsidRPr="002B54D2">
        <w:rPr>
          <w:rFonts w:ascii="Times New Roman" w:hAnsi="Times New Roman" w:cs="Times New Roman"/>
          <w:sz w:val="21"/>
          <w:szCs w:val="21"/>
          <w:lang w:val="en-GB"/>
        </w:rPr>
        <w:t>onkman</w:t>
      </w:r>
      <w:proofErr w:type="spellEnd"/>
      <w:r w:rsidR="002B54D2" w:rsidRPr="002B54D2">
        <w:rPr>
          <w:rFonts w:ascii="Times New Roman" w:hAnsi="Times New Roman" w:cs="Times New Roman"/>
          <w:sz w:val="21"/>
          <w:szCs w:val="21"/>
          <w:lang w:val="en-GB"/>
        </w:rPr>
        <w:t>, VU University Amsterdam</w:t>
      </w:r>
    </w:p>
    <w:p w14:paraId="0EA796F4" w14:textId="338DEFA0" w:rsidR="00C2567C" w:rsidRPr="002B54D2" w:rsidRDefault="008858FD" w:rsidP="004F355C">
      <w:pPr>
        <w:spacing w:after="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>j.h.jonkman@vu.nl</w:t>
      </w:r>
    </w:p>
    <w:p w14:paraId="5FF14A74" w14:textId="694B3904" w:rsidR="00C2567C" w:rsidRPr="002B54D2" w:rsidRDefault="008858FD" w:rsidP="004F355C">
      <w:pPr>
        <w:spacing w:after="0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b/>
          <w:sz w:val="21"/>
          <w:szCs w:val="21"/>
          <w:lang w:val="en-GB"/>
        </w:rPr>
        <w:t>Note</w:t>
      </w:r>
    </w:p>
    <w:p w14:paraId="2AED365C" w14:textId="4D1DE4FF" w:rsidR="008858FD" w:rsidRPr="002B54D2" w:rsidRDefault="008858FD" w:rsidP="004F355C">
      <w:pPr>
        <w:spacing w:after="0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1. 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For more detailed analyses on the case of COCOMOPOCA, which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Paschel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describes, see Martínez-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Basallo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(2010) and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Tubb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(2014).</w:t>
      </w:r>
    </w:p>
    <w:p w14:paraId="50B986BC" w14:textId="7E9550AC" w:rsidR="00486B25" w:rsidRPr="002B54D2" w:rsidRDefault="00C2567C" w:rsidP="004F355C">
      <w:pPr>
        <w:spacing w:after="0"/>
        <w:rPr>
          <w:rFonts w:ascii="Times New Roman" w:hAnsi="Times New Roman" w:cs="Times New Roman"/>
          <w:b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b/>
          <w:sz w:val="21"/>
          <w:szCs w:val="21"/>
          <w:lang w:val="en-GB"/>
        </w:rPr>
        <w:t>References</w:t>
      </w:r>
    </w:p>
    <w:p w14:paraId="02D1833A" w14:textId="5E5DDB27" w:rsidR="00C2567C" w:rsidRPr="002B54D2" w:rsidRDefault="00C2567C" w:rsidP="00C2567C">
      <w:pPr>
        <w:tabs>
          <w:tab w:val="left" w:pos="284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Asher, K. &amp; Ojeda, D. (2009). Producing Nature and Making the State: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Ordenamiento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Territorial in the Pacific Lowlands of Colombia. </w:t>
      </w:r>
      <w:proofErr w:type="spellStart"/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>Geoforum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40, 292-302.</w:t>
      </w:r>
    </w:p>
    <w:p w14:paraId="6B981F63" w14:textId="3AD5A181" w:rsidR="00A568C6" w:rsidRPr="002B54D2" w:rsidRDefault="00A568C6" w:rsidP="00A568C6">
      <w:pPr>
        <w:tabs>
          <w:tab w:val="left" w:pos="284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>Cárdenas, R., 2012. Green Multiculturalism: Articulations of Ethnic and Environ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mental Politics in a Colomb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i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an “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Black Community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.”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>The Journal of Peasants Studies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39(2)</w:t>
      </w:r>
      <w:r w:rsidR="0024328C" w:rsidRPr="002B54D2">
        <w:rPr>
          <w:rFonts w:ascii="Times New Roman" w:hAnsi="Times New Roman" w:cs="Times New Roman"/>
          <w:sz w:val="21"/>
          <w:szCs w:val="21"/>
          <w:lang w:val="en-GB"/>
        </w:rPr>
        <w:t>,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309-333.</w:t>
      </w:r>
    </w:p>
    <w:p w14:paraId="7C44282C" w14:textId="0EADD47D" w:rsidR="00C2567C" w:rsidRPr="002B54D2" w:rsidRDefault="00C2567C" w:rsidP="00C2567C">
      <w:pPr>
        <w:tabs>
          <w:tab w:val="left" w:pos="284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Martínez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Basallo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S.P. (2010). La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Política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de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Titulación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Colectiva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a las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Comunidades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Negras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del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Pacífico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C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o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>lombiano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: Una Mirada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desde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los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Actores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Locales. </w:t>
      </w:r>
      <w:proofErr w:type="spellStart"/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>Boletín</w:t>
      </w:r>
      <w:proofErr w:type="spellEnd"/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 xml:space="preserve"> de </w:t>
      </w:r>
      <w:proofErr w:type="spellStart"/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>Antropología</w:t>
      </w:r>
      <w:proofErr w:type="spellEnd"/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 xml:space="preserve"> Universidad de Antioquia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 24(41), 13-43.</w:t>
      </w:r>
    </w:p>
    <w:p w14:paraId="6E517C72" w14:textId="634B57F0" w:rsidR="00CF2470" w:rsidRPr="002B54D2" w:rsidRDefault="00C2567C" w:rsidP="0024328C">
      <w:pPr>
        <w:tabs>
          <w:tab w:val="left" w:pos="284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proofErr w:type="spellStart"/>
      <w:r w:rsidRPr="002B54D2">
        <w:rPr>
          <w:rFonts w:ascii="Times New Roman" w:hAnsi="Times New Roman" w:cs="Times New Roman"/>
          <w:sz w:val="21"/>
          <w:szCs w:val="21"/>
          <w:lang w:val="en-GB"/>
        </w:rPr>
        <w:t>Tubb</w:t>
      </w:r>
      <w:proofErr w:type="spellEnd"/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, D. (2014). </w:t>
      </w:r>
      <w:r w:rsidRPr="002B54D2">
        <w:rPr>
          <w:rFonts w:ascii="Times New Roman" w:hAnsi="Times New Roman" w:cs="Times New Roman"/>
          <w:i/>
          <w:sz w:val="21"/>
          <w:szCs w:val="21"/>
          <w:lang w:val="en-GB"/>
        </w:rPr>
        <w:t>Gold in the Chocó, Colombia</w:t>
      </w:r>
      <w:r w:rsidRPr="002B54D2">
        <w:rPr>
          <w:rFonts w:ascii="Times New Roman" w:hAnsi="Times New Roman" w:cs="Times New Roman"/>
          <w:sz w:val="21"/>
          <w:szCs w:val="21"/>
          <w:lang w:val="en-GB"/>
        </w:rPr>
        <w:t xml:space="preserve">. PhD dissertation. Carleton University. </w:t>
      </w:r>
    </w:p>
    <w:sectPr w:rsidR="00CF2470" w:rsidRPr="002B5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8DFB2" w14:textId="77777777" w:rsidR="00945A23" w:rsidRDefault="00945A23" w:rsidP="00EA6C7F">
      <w:pPr>
        <w:spacing w:after="0" w:line="240" w:lineRule="auto"/>
      </w:pPr>
      <w:r>
        <w:separator/>
      </w:r>
    </w:p>
  </w:endnote>
  <w:endnote w:type="continuationSeparator" w:id="0">
    <w:p w14:paraId="61F7372C" w14:textId="77777777" w:rsidR="00945A23" w:rsidRDefault="00945A23" w:rsidP="00EA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D8D5F" w14:textId="77777777" w:rsidR="00945A23" w:rsidRDefault="00945A23" w:rsidP="00EA6C7F">
      <w:pPr>
        <w:spacing w:after="0" w:line="240" w:lineRule="auto"/>
      </w:pPr>
      <w:r>
        <w:separator/>
      </w:r>
    </w:p>
  </w:footnote>
  <w:footnote w:type="continuationSeparator" w:id="0">
    <w:p w14:paraId="1FAFA848" w14:textId="77777777" w:rsidR="00945A23" w:rsidRDefault="00945A23" w:rsidP="00EA6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70"/>
    <w:rsid w:val="00003A3A"/>
    <w:rsid w:val="000113F8"/>
    <w:rsid w:val="00014F33"/>
    <w:rsid w:val="00025E9F"/>
    <w:rsid w:val="00037C0A"/>
    <w:rsid w:val="00041C6F"/>
    <w:rsid w:val="000635A6"/>
    <w:rsid w:val="00065A91"/>
    <w:rsid w:val="000679C6"/>
    <w:rsid w:val="00087B00"/>
    <w:rsid w:val="000B0FAF"/>
    <w:rsid w:val="000C47CB"/>
    <w:rsid w:val="000D65C2"/>
    <w:rsid w:val="000D75B5"/>
    <w:rsid w:val="000E11D2"/>
    <w:rsid w:val="000E3EFB"/>
    <w:rsid w:val="000E6C6B"/>
    <w:rsid w:val="000F07F2"/>
    <w:rsid w:val="00105646"/>
    <w:rsid w:val="00106095"/>
    <w:rsid w:val="00120EF6"/>
    <w:rsid w:val="0012416C"/>
    <w:rsid w:val="00134C61"/>
    <w:rsid w:val="00135198"/>
    <w:rsid w:val="00156671"/>
    <w:rsid w:val="0018131F"/>
    <w:rsid w:val="0018294C"/>
    <w:rsid w:val="001A562C"/>
    <w:rsid w:val="002008CF"/>
    <w:rsid w:val="002028E5"/>
    <w:rsid w:val="002070BE"/>
    <w:rsid w:val="00225174"/>
    <w:rsid w:val="00227849"/>
    <w:rsid w:val="00242184"/>
    <w:rsid w:val="0024328C"/>
    <w:rsid w:val="002469FE"/>
    <w:rsid w:val="00246B3C"/>
    <w:rsid w:val="002640A9"/>
    <w:rsid w:val="00285385"/>
    <w:rsid w:val="0029153C"/>
    <w:rsid w:val="002A0704"/>
    <w:rsid w:val="002B3A34"/>
    <w:rsid w:val="002B54D2"/>
    <w:rsid w:val="00311DD8"/>
    <w:rsid w:val="00324D5D"/>
    <w:rsid w:val="00327EF3"/>
    <w:rsid w:val="003460E5"/>
    <w:rsid w:val="00366F4B"/>
    <w:rsid w:val="003837A2"/>
    <w:rsid w:val="00395479"/>
    <w:rsid w:val="0039724A"/>
    <w:rsid w:val="003A1740"/>
    <w:rsid w:val="003B5A3A"/>
    <w:rsid w:val="003D0FB4"/>
    <w:rsid w:val="003D1DC0"/>
    <w:rsid w:val="003D4F8E"/>
    <w:rsid w:val="003E2893"/>
    <w:rsid w:val="003E4033"/>
    <w:rsid w:val="003F30EF"/>
    <w:rsid w:val="003F5D01"/>
    <w:rsid w:val="003F72FB"/>
    <w:rsid w:val="00470EBC"/>
    <w:rsid w:val="00477A7B"/>
    <w:rsid w:val="004844E1"/>
    <w:rsid w:val="00486B25"/>
    <w:rsid w:val="00486F46"/>
    <w:rsid w:val="004A1C8D"/>
    <w:rsid w:val="004A2880"/>
    <w:rsid w:val="004A36D0"/>
    <w:rsid w:val="004A3EBE"/>
    <w:rsid w:val="004A4242"/>
    <w:rsid w:val="004A6E7A"/>
    <w:rsid w:val="004D0E76"/>
    <w:rsid w:val="004D2320"/>
    <w:rsid w:val="004D2B88"/>
    <w:rsid w:val="004F355C"/>
    <w:rsid w:val="005018E6"/>
    <w:rsid w:val="00503AD2"/>
    <w:rsid w:val="00530D34"/>
    <w:rsid w:val="00567D5A"/>
    <w:rsid w:val="0059395C"/>
    <w:rsid w:val="005A5173"/>
    <w:rsid w:val="005B6948"/>
    <w:rsid w:val="005C54B3"/>
    <w:rsid w:val="005C7304"/>
    <w:rsid w:val="006479E4"/>
    <w:rsid w:val="0068786C"/>
    <w:rsid w:val="006A4876"/>
    <w:rsid w:val="006A628E"/>
    <w:rsid w:val="006B0FB2"/>
    <w:rsid w:val="006D2CBA"/>
    <w:rsid w:val="006E4570"/>
    <w:rsid w:val="006E52EB"/>
    <w:rsid w:val="00717D2B"/>
    <w:rsid w:val="00730D37"/>
    <w:rsid w:val="00733139"/>
    <w:rsid w:val="0074412B"/>
    <w:rsid w:val="0079683D"/>
    <w:rsid w:val="00802A78"/>
    <w:rsid w:val="008169F1"/>
    <w:rsid w:val="00830A4B"/>
    <w:rsid w:val="00847104"/>
    <w:rsid w:val="0086470A"/>
    <w:rsid w:val="00876602"/>
    <w:rsid w:val="008858FD"/>
    <w:rsid w:val="008935FF"/>
    <w:rsid w:val="00895A0A"/>
    <w:rsid w:val="008B7937"/>
    <w:rsid w:val="008D6FD8"/>
    <w:rsid w:val="008D7725"/>
    <w:rsid w:val="008D7E27"/>
    <w:rsid w:val="009026E2"/>
    <w:rsid w:val="0092208E"/>
    <w:rsid w:val="00922AFE"/>
    <w:rsid w:val="00922F7A"/>
    <w:rsid w:val="009326CE"/>
    <w:rsid w:val="00940E3B"/>
    <w:rsid w:val="00945A23"/>
    <w:rsid w:val="009500E4"/>
    <w:rsid w:val="00983662"/>
    <w:rsid w:val="009A2F2D"/>
    <w:rsid w:val="009B5D54"/>
    <w:rsid w:val="009C75DF"/>
    <w:rsid w:val="00A568C6"/>
    <w:rsid w:val="00A62EC9"/>
    <w:rsid w:val="00A754B0"/>
    <w:rsid w:val="00A95B2B"/>
    <w:rsid w:val="00A95D1B"/>
    <w:rsid w:val="00A9619C"/>
    <w:rsid w:val="00AC1C00"/>
    <w:rsid w:val="00AE6DF9"/>
    <w:rsid w:val="00AE6F88"/>
    <w:rsid w:val="00AF3D66"/>
    <w:rsid w:val="00AF5E73"/>
    <w:rsid w:val="00B01197"/>
    <w:rsid w:val="00B2025A"/>
    <w:rsid w:val="00B336AD"/>
    <w:rsid w:val="00B918DA"/>
    <w:rsid w:val="00B91BB4"/>
    <w:rsid w:val="00B94F65"/>
    <w:rsid w:val="00B9691B"/>
    <w:rsid w:val="00C12D29"/>
    <w:rsid w:val="00C2567C"/>
    <w:rsid w:val="00C42141"/>
    <w:rsid w:val="00C671F4"/>
    <w:rsid w:val="00CC7246"/>
    <w:rsid w:val="00CD1B74"/>
    <w:rsid w:val="00CF2470"/>
    <w:rsid w:val="00D526B4"/>
    <w:rsid w:val="00D824CE"/>
    <w:rsid w:val="00DA22A6"/>
    <w:rsid w:val="00DB39F5"/>
    <w:rsid w:val="00DD4D59"/>
    <w:rsid w:val="00E54349"/>
    <w:rsid w:val="00EA56A0"/>
    <w:rsid w:val="00EA6C7F"/>
    <w:rsid w:val="00F030D0"/>
    <w:rsid w:val="00F13016"/>
    <w:rsid w:val="00F26BE6"/>
    <w:rsid w:val="00F44F2A"/>
    <w:rsid w:val="00F57C58"/>
    <w:rsid w:val="00F63089"/>
    <w:rsid w:val="00F70E5E"/>
    <w:rsid w:val="00FA18CD"/>
    <w:rsid w:val="00FA474C"/>
    <w:rsid w:val="00FD17F6"/>
    <w:rsid w:val="00FE049D"/>
    <w:rsid w:val="00FE1A85"/>
    <w:rsid w:val="00FE6B43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0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C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C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6C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4B9E-BF0D-411F-8877-6758EF4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1022</Words>
  <Characters>5706</Characters>
  <Application>Microsoft Office Word</Application>
  <DocSecurity>0</DocSecurity>
  <Lines>101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j.h.jonkman@vu.nl</dc:creator>
  <cp:lastModifiedBy>Kathleen Willingham</cp:lastModifiedBy>
  <cp:revision>4</cp:revision>
  <dcterms:created xsi:type="dcterms:W3CDTF">2017-06-27T11:34:00Z</dcterms:created>
  <dcterms:modified xsi:type="dcterms:W3CDTF">2017-06-27T11:36:00Z</dcterms:modified>
</cp:coreProperties>
</file>