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6E3" w:rsidRPr="008A2D83" w:rsidRDefault="004636E3" w:rsidP="004636E3">
      <w:pPr>
        <w:pStyle w:val="Default"/>
        <w:jc w:val="both"/>
      </w:pPr>
      <w:r w:rsidRPr="008A2D83">
        <w:rPr>
          <w:b/>
          <w:bCs/>
        </w:rPr>
        <w:t>Movilización socioambiental y sanción de la Ley de Glaciares</w:t>
      </w:r>
      <w:r w:rsidR="002457AA">
        <w:rPr>
          <w:b/>
          <w:bCs/>
        </w:rPr>
        <w:t xml:space="preserve"> en Argentina</w:t>
      </w:r>
      <w:r w:rsidRPr="008A2D83">
        <w:rPr>
          <w:b/>
          <w:bCs/>
        </w:rPr>
        <w:t>: un análisis a partir del concepto de soberanías en conflicto</w:t>
      </w:r>
      <w:r w:rsidR="008E3371">
        <w:rPr>
          <w:b/>
          <w:bCs/>
        </w:rPr>
        <w:t>.</w:t>
      </w:r>
    </w:p>
    <w:p w:rsidR="002A18EE" w:rsidRDefault="002A18EE" w:rsidP="004636E3">
      <w:pPr>
        <w:pStyle w:val="Default"/>
        <w:jc w:val="both"/>
        <w:rPr>
          <w:b/>
          <w:bCs/>
        </w:rPr>
      </w:pPr>
    </w:p>
    <w:p w:rsidR="00012BA3" w:rsidRDefault="00012BA3" w:rsidP="004636E3">
      <w:pPr>
        <w:pStyle w:val="Default"/>
        <w:jc w:val="both"/>
        <w:rPr>
          <w:b/>
          <w:bCs/>
        </w:rPr>
      </w:pPr>
    </w:p>
    <w:p w:rsidR="00012BA3" w:rsidRPr="008A2D83" w:rsidRDefault="00012BA3" w:rsidP="004636E3">
      <w:pPr>
        <w:pStyle w:val="Default"/>
        <w:jc w:val="both"/>
        <w:rPr>
          <w:b/>
          <w:bCs/>
        </w:rPr>
      </w:pPr>
    </w:p>
    <w:p w:rsidR="00D753A3" w:rsidRDefault="004636E3" w:rsidP="00D753A3">
      <w:pPr>
        <w:pStyle w:val="NormalWeb"/>
        <w:jc w:val="both"/>
        <w:rPr>
          <w:bCs/>
          <w:lang w:val="es-ES"/>
        </w:rPr>
      </w:pPr>
      <w:r w:rsidRPr="00D753A3">
        <w:rPr>
          <w:bCs/>
          <w:lang w:val="es-ES"/>
        </w:rPr>
        <w:t xml:space="preserve">Resumen: </w:t>
      </w:r>
    </w:p>
    <w:p w:rsidR="00012BA3" w:rsidRPr="00BA32AE" w:rsidRDefault="00D753A3" w:rsidP="00BA32AE">
      <w:pPr>
        <w:pStyle w:val="NormalWeb"/>
        <w:jc w:val="both"/>
        <w:rPr>
          <w:color w:val="000000"/>
          <w:lang w:val="es-ES"/>
        </w:rPr>
      </w:pPr>
      <w:r>
        <w:rPr>
          <w:color w:val="000000"/>
          <w:lang w:val="es-ES"/>
        </w:rPr>
        <w:t>La</w:t>
      </w:r>
      <w:r w:rsidRPr="00BC7A11">
        <w:rPr>
          <w:color w:val="000000"/>
          <w:lang w:val="es-ES"/>
        </w:rPr>
        <w:t xml:space="preserve"> literatura sobre</w:t>
      </w:r>
      <w:r>
        <w:rPr>
          <w:color w:val="000000"/>
          <w:lang w:val="es-ES"/>
        </w:rPr>
        <w:t xml:space="preserve"> el</w:t>
      </w:r>
      <w:r w:rsidRPr="00BC7A11">
        <w:rPr>
          <w:color w:val="000000"/>
          <w:lang w:val="es-ES"/>
        </w:rPr>
        <w:t xml:space="preserve"> ciclo de movilización socioambiental  contra la minería transnacional</w:t>
      </w:r>
      <w:r w:rsidRPr="00BC7A11">
        <w:rPr>
          <w:rStyle w:val="apple-converted-space"/>
          <w:color w:val="000000"/>
          <w:lang w:val="es-ES"/>
        </w:rPr>
        <w:t> </w:t>
      </w:r>
      <w:r w:rsidRPr="00BC7A11">
        <w:rPr>
          <w:color w:val="000000"/>
          <w:lang w:val="es-ES"/>
        </w:rPr>
        <w:t>en la Argentina, iniciado en 2003, se concentró principalmente sobre la escala subnacional. Posteriormente, con la sanción de la Ley de protección de glaciares, en 2010, por primera vez la movilización socioambiental logró impacto legislativo a escala federal</w:t>
      </w:r>
      <w:r w:rsidR="00F96878">
        <w:rPr>
          <w:color w:val="000000"/>
          <w:lang w:val="es-ES"/>
        </w:rPr>
        <w:t>.</w:t>
      </w:r>
      <w:r w:rsidRPr="00F96878">
        <w:rPr>
          <w:color w:val="000000"/>
          <w:lang w:val="es-ES"/>
        </w:rPr>
        <w:t xml:space="preserve">Este artículo problematiza los conflictos socioambientales a través de la noción de soberanías en conflicto. </w:t>
      </w:r>
      <w:r w:rsidR="00BA32AE" w:rsidRPr="00F96878">
        <w:rPr>
          <w:color w:val="000000"/>
          <w:lang w:val="es-ES"/>
        </w:rPr>
        <w:t>Se argumenta que la sanción de la Ley de Glaciares fue posible por el mayor grado de organización y articulación del movimiento socioambiental y</w:t>
      </w:r>
      <w:r w:rsidRPr="00F96878">
        <w:rPr>
          <w:color w:val="000000"/>
          <w:lang w:val="es-ES"/>
        </w:rPr>
        <w:t xml:space="preserve"> de aper</w:t>
      </w:r>
      <w:r w:rsidR="00B4752D" w:rsidRPr="00F96878">
        <w:rPr>
          <w:color w:val="000000"/>
          <w:lang w:val="es-ES"/>
        </w:rPr>
        <w:t>tura política del nivel federal.</w:t>
      </w:r>
    </w:p>
    <w:p w:rsidR="00614509" w:rsidRDefault="004636E3" w:rsidP="004636E3">
      <w:pPr>
        <w:pStyle w:val="Default"/>
        <w:jc w:val="both"/>
        <w:rPr>
          <w:bCs/>
        </w:rPr>
      </w:pPr>
      <w:r w:rsidRPr="008A2D83">
        <w:rPr>
          <w:bCs/>
        </w:rPr>
        <w:t xml:space="preserve">Palabras Claves: </w:t>
      </w:r>
      <w:bookmarkStart w:id="0" w:name="_GoBack"/>
      <w:r w:rsidR="008A2D83">
        <w:rPr>
          <w:bCs/>
        </w:rPr>
        <w:t>Argentina-Soberanías en conflicto-Movilización socioambiental-Minería Transnacional-Ley de Glaciares</w:t>
      </w:r>
      <w:r w:rsidR="00D753A3">
        <w:rPr>
          <w:bCs/>
        </w:rPr>
        <w:t>.</w:t>
      </w:r>
    </w:p>
    <w:bookmarkEnd w:id="0"/>
    <w:p w:rsidR="00614509" w:rsidRPr="008A2D83" w:rsidRDefault="00614509" w:rsidP="004636E3">
      <w:pPr>
        <w:pStyle w:val="Default"/>
        <w:jc w:val="both"/>
        <w:rPr>
          <w:bCs/>
        </w:rPr>
      </w:pPr>
    </w:p>
    <w:p w:rsidR="00312CFE" w:rsidRPr="0042475C" w:rsidRDefault="00312CFE" w:rsidP="00312CFE">
      <w:pPr>
        <w:pStyle w:val="Default"/>
        <w:jc w:val="both"/>
        <w:rPr>
          <w:lang w:val="en-US"/>
        </w:rPr>
      </w:pPr>
      <w:r w:rsidRPr="0042475C">
        <w:rPr>
          <w:lang w:val="en-US"/>
        </w:rPr>
        <w:t>Abstract:</w:t>
      </w:r>
    </w:p>
    <w:p w:rsidR="00614509" w:rsidRPr="0042475C" w:rsidRDefault="00614509" w:rsidP="004636E3">
      <w:pPr>
        <w:pStyle w:val="Default"/>
        <w:jc w:val="both"/>
        <w:rPr>
          <w:bCs/>
          <w:lang w:val="en-US"/>
        </w:rPr>
      </w:pPr>
    </w:p>
    <w:p w:rsidR="00BA32AE" w:rsidRDefault="00D753A3" w:rsidP="00D753A3">
      <w:pPr>
        <w:pStyle w:val="NormalWeb"/>
        <w:jc w:val="both"/>
        <w:rPr>
          <w:color w:val="000000"/>
          <w:lang w:val="en-CA"/>
        </w:rPr>
      </w:pPr>
      <w:r>
        <w:rPr>
          <w:color w:val="000000"/>
          <w:lang w:val="en-CA"/>
        </w:rPr>
        <w:t>T</w:t>
      </w:r>
      <w:r w:rsidRPr="00BC7A11">
        <w:rPr>
          <w:color w:val="000000"/>
          <w:lang w:val="en-CA"/>
        </w:rPr>
        <w:t xml:space="preserve">he literature on </w:t>
      </w:r>
      <w:r>
        <w:rPr>
          <w:color w:val="000000"/>
          <w:lang w:val="en-CA"/>
        </w:rPr>
        <w:t>t</w:t>
      </w:r>
      <w:r w:rsidRPr="00BC7A11">
        <w:rPr>
          <w:color w:val="000000"/>
          <w:lang w:val="en-CA"/>
        </w:rPr>
        <w:t>he cycle of socio-environmental mobilization agains</w:t>
      </w:r>
      <w:r w:rsidR="006C2873">
        <w:rPr>
          <w:color w:val="000000"/>
          <w:lang w:val="en-CA"/>
        </w:rPr>
        <w:t>t large scale</w:t>
      </w:r>
      <w:r w:rsidRPr="00BC7A11">
        <w:rPr>
          <w:color w:val="000000"/>
          <w:lang w:val="en-CA"/>
        </w:rPr>
        <w:t xml:space="preserve"> mining in Argentina, initiated in 2003, </w:t>
      </w:r>
      <w:r>
        <w:rPr>
          <w:color w:val="000000"/>
          <w:lang w:val="en-CA"/>
        </w:rPr>
        <w:t>have focused its influence at the subnational level. In 2010,</w:t>
      </w:r>
      <w:r w:rsidRPr="00BC7A11">
        <w:rPr>
          <w:color w:val="000000"/>
          <w:lang w:val="en-CA"/>
        </w:rPr>
        <w:t xml:space="preserve"> the sanc</w:t>
      </w:r>
      <w:r>
        <w:rPr>
          <w:color w:val="000000"/>
          <w:lang w:val="en-CA"/>
        </w:rPr>
        <w:t xml:space="preserve">tion of Glacier Protection Law has come to the forefront the effects of </w:t>
      </w:r>
      <w:r w:rsidRPr="00BC7A11">
        <w:rPr>
          <w:color w:val="000000"/>
          <w:lang w:val="en-CA"/>
        </w:rPr>
        <w:t xml:space="preserve">socio-environmental mobilization </w:t>
      </w:r>
      <w:r>
        <w:rPr>
          <w:color w:val="000000"/>
          <w:lang w:val="en-CA"/>
        </w:rPr>
        <w:t xml:space="preserve">at the federal level. This study contributes an analysis of Glacier Law </w:t>
      </w:r>
      <w:r w:rsidRPr="00BC7A11">
        <w:rPr>
          <w:color w:val="000000"/>
          <w:lang w:val="en-CA"/>
        </w:rPr>
        <w:t>legislative process th</w:t>
      </w:r>
      <w:r>
        <w:rPr>
          <w:color w:val="000000"/>
          <w:lang w:val="en-CA"/>
        </w:rPr>
        <w:t xml:space="preserve">rough the notion of sovereignties </w:t>
      </w:r>
      <w:r w:rsidRPr="00BC7A11">
        <w:rPr>
          <w:color w:val="000000"/>
          <w:lang w:val="en-CA"/>
        </w:rPr>
        <w:t xml:space="preserve">in conflict. </w:t>
      </w:r>
      <w:r w:rsidRPr="00F96878">
        <w:rPr>
          <w:color w:val="000000"/>
          <w:lang w:val="en-CA"/>
        </w:rPr>
        <w:t>We argue that the</w:t>
      </w:r>
      <w:r w:rsidR="00BA32AE" w:rsidRPr="00F96878">
        <w:rPr>
          <w:color w:val="000000"/>
          <w:lang w:val="en-CA"/>
        </w:rPr>
        <w:t xml:space="preserve"> sanction of Glacier Protection Law has been possible by the greater degree of organization and organization</w:t>
      </w:r>
      <w:r w:rsidRPr="00F96878">
        <w:rPr>
          <w:color w:val="000000"/>
          <w:lang w:val="en-CA"/>
        </w:rPr>
        <w:t xml:space="preserve"> of socio-environmental mobilization </w:t>
      </w:r>
      <w:r w:rsidR="00BA32AE" w:rsidRPr="00F96878">
        <w:rPr>
          <w:color w:val="000000"/>
          <w:lang w:val="en-CA"/>
        </w:rPr>
        <w:t>and political openness at the federal level.</w:t>
      </w:r>
    </w:p>
    <w:p w:rsidR="00614509" w:rsidRPr="00D753A3" w:rsidRDefault="00D753A3" w:rsidP="004636E3">
      <w:pPr>
        <w:pStyle w:val="Default"/>
        <w:jc w:val="both"/>
        <w:rPr>
          <w:bCs/>
          <w:lang w:val="en-CA"/>
        </w:rPr>
      </w:pPr>
      <w:r>
        <w:rPr>
          <w:bCs/>
          <w:lang w:val="en-CA"/>
        </w:rPr>
        <w:t>Key Words: Argentine-</w:t>
      </w:r>
      <w:r>
        <w:rPr>
          <w:lang w:val="en-CA"/>
        </w:rPr>
        <w:t>Sovereignties in C</w:t>
      </w:r>
      <w:r w:rsidRPr="00BC7A11">
        <w:rPr>
          <w:lang w:val="en-CA"/>
        </w:rPr>
        <w:t>onflict</w:t>
      </w:r>
      <w:r>
        <w:rPr>
          <w:lang w:val="en-CA"/>
        </w:rPr>
        <w:t>-Socio-Environmental M</w:t>
      </w:r>
      <w:r w:rsidRPr="00BC7A11">
        <w:rPr>
          <w:lang w:val="en-CA"/>
        </w:rPr>
        <w:t>obilization</w:t>
      </w:r>
      <w:r>
        <w:rPr>
          <w:lang w:val="en-CA"/>
        </w:rPr>
        <w:t>-Transnational Mining-Glacier Protection Law.</w:t>
      </w:r>
    </w:p>
    <w:p w:rsidR="002A18EE" w:rsidRPr="00D753A3" w:rsidRDefault="002A18EE" w:rsidP="004636E3">
      <w:pPr>
        <w:pStyle w:val="Default"/>
        <w:jc w:val="both"/>
        <w:rPr>
          <w:bCs/>
          <w:lang w:val="en-US"/>
        </w:rPr>
      </w:pPr>
    </w:p>
    <w:p w:rsidR="002A18EE" w:rsidRPr="00D753A3" w:rsidRDefault="002A18EE" w:rsidP="004636E3">
      <w:pPr>
        <w:pStyle w:val="Default"/>
        <w:jc w:val="both"/>
        <w:rPr>
          <w:b/>
          <w:bCs/>
          <w:lang w:val="en-US"/>
        </w:rPr>
      </w:pPr>
    </w:p>
    <w:p w:rsidR="004636E3" w:rsidRPr="00D753A3" w:rsidRDefault="004636E3" w:rsidP="004636E3">
      <w:pPr>
        <w:pStyle w:val="Default"/>
        <w:jc w:val="both"/>
        <w:rPr>
          <w:b/>
          <w:bCs/>
          <w:lang w:val="en-US"/>
        </w:rPr>
      </w:pPr>
    </w:p>
    <w:p w:rsidR="004636E3" w:rsidRPr="00D753A3" w:rsidRDefault="004636E3" w:rsidP="004636E3">
      <w:pPr>
        <w:pStyle w:val="Default"/>
        <w:jc w:val="both"/>
        <w:rPr>
          <w:b/>
          <w:bCs/>
          <w:lang w:val="en-US"/>
        </w:rPr>
      </w:pPr>
    </w:p>
    <w:p w:rsidR="004636E3" w:rsidRPr="00D753A3" w:rsidRDefault="004636E3" w:rsidP="004636E3">
      <w:pPr>
        <w:pStyle w:val="Default"/>
        <w:jc w:val="both"/>
        <w:rPr>
          <w:b/>
          <w:bCs/>
          <w:lang w:val="en-US"/>
        </w:rPr>
      </w:pPr>
    </w:p>
    <w:p w:rsidR="004636E3" w:rsidRPr="00D753A3" w:rsidRDefault="004636E3" w:rsidP="004636E3">
      <w:pPr>
        <w:pStyle w:val="Default"/>
        <w:jc w:val="both"/>
        <w:rPr>
          <w:b/>
          <w:bCs/>
          <w:lang w:val="en-US"/>
        </w:rPr>
      </w:pPr>
    </w:p>
    <w:p w:rsidR="008A2D83" w:rsidRPr="00D753A3" w:rsidRDefault="008A2D83" w:rsidP="004636E3">
      <w:pPr>
        <w:pStyle w:val="Default"/>
        <w:jc w:val="both"/>
        <w:rPr>
          <w:b/>
          <w:bCs/>
          <w:lang w:val="en-US"/>
        </w:rPr>
      </w:pPr>
    </w:p>
    <w:p w:rsidR="00012BA3" w:rsidRPr="00D753A3" w:rsidRDefault="00012BA3" w:rsidP="004636E3">
      <w:pPr>
        <w:pStyle w:val="Default"/>
        <w:jc w:val="both"/>
        <w:rPr>
          <w:b/>
          <w:bCs/>
          <w:lang w:val="en-US"/>
        </w:rPr>
      </w:pPr>
    </w:p>
    <w:p w:rsidR="00012BA3" w:rsidRPr="00D753A3" w:rsidRDefault="00012BA3" w:rsidP="004636E3">
      <w:pPr>
        <w:pStyle w:val="Default"/>
        <w:jc w:val="both"/>
        <w:rPr>
          <w:b/>
          <w:bCs/>
          <w:lang w:val="en-US"/>
        </w:rPr>
      </w:pPr>
    </w:p>
    <w:p w:rsidR="00012BA3" w:rsidRPr="00D753A3" w:rsidRDefault="00012BA3" w:rsidP="004636E3">
      <w:pPr>
        <w:pStyle w:val="Default"/>
        <w:jc w:val="both"/>
        <w:rPr>
          <w:b/>
          <w:bCs/>
          <w:lang w:val="en-US"/>
        </w:rPr>
      </w:pPr>
    </w:p>
    <w:p w:rsidR="00012BA3" w:rsidRPr="00D753A3" w:rsidRDefault="00012BA3" w:rsidP="004636E3">
      <w:pPr>
        <w:pStyle w:val="Default"/>
        <w:jc w:val="both"/>
        <w:rPr>
          <w:b/>
          <w:bCs/>
          <w:lang w:val="en-US"/>
        </w:rPr>
      </w:pPr>
    </w:p>
    <w:p w:rsidR="00012BA3" w:rsidRDefault="00012BA3" w:rsidP="004636E3">
      <w:pPr>
        <w:pStyle w:val="Default"/>
        <w:jc w:val="both"/>
        <w:rPr>
          <w:b/>
          <w:bCs/>
          <w:lang w:val="en-US"/>
        </w:rPr>
      </w:pPr>
    </w:p>
    <w:p w:rsidR="00431111" w:rsidRDefault="00431111" w:rsidP="004636E3">
      <w:pPr>
        <w:pStyle w:val="Default"/>
        <w:jc w:val="both"/>
        <w:rPr>
          <w:b/>
          <w:bCs/>
          <w:lang w:val="en-US"/>
        </w:rPr>
      </w:pPr>
    </w:p>
    <w:p w:rsidR="00431111" w:rsidRPr="00D753A3" w:rsidRDefault="00431111" w:rsidP="004636E3">
      <w:pPr>
        <w:pStyle w:val="Default"/>
        <w:jc w:val="both"/>
        <w:rPr>
          <w:b/>
          <w:bCs/>
          <w:lang w:val="en-US"/>
        </w:rPr>
      </w:pPr>
    </w:p>
    <w:p w:rsidR="009C26A7" w:rsidRPr="008A2D83" w:rsidRDefault="00A13430" w:rsidP="004636E3">
      <w:pPr>
        <w:pStyle w:val="Default"/>
        <w:jc w:val="both"/>
      </w:pPr>
      <w:r w:rsidRPr="008A2D83">
        <w:rPr>
          <w:b/>
          <w:bCs/>
        </w:rPr>
        <w:lastRenderedPageBreak/>
        <w:t>M</w:t>
      </w:r>
      <w:r w:rsidR="009C26A7" w:rsidRPr="008A2D83">
        <w:rPr>
          <w:b/>
          <w:bCs/>
        </w:rPr>
        <w:t>ovilización</w:t>
      </w:r>
      <w:r w:rsidR="002B0281">
        <w:rPr>
          <w:b/>
          <w:bCs/>
        </w:rPr>
        <w:t xml:space="preserve"> </w:t>
      </w:r>
      <w:r w:rsidRPr="008A2D83">
        <w:rPr>
          <w:b/>
          <w:bCs/>
        </w:rPr>
        <w:t>socioambiental y sanción de</w:t>
      </w:r>
      <w:r w:rsidR="009C26A7" w:rsidRPr="008A2D83">
        <w:rPr>
          <w:b/>
          <w:bCs/>
        </w:rPr>
        <w:t xml:space="preserve"> la Ley de Glaciares</w:t>
      </w:r>
      <w:r w:rsidRPr="008A2D83">
        <w:rPr>
          <w:b/>
          <w:bCs/>
        </w:rPr>
        <w:t>:</w:t>
      </w:r>
      <w:r w:rsidR="002B0281">
        <w:rPr>
          <w:b/>
          <w:bCs/>
        </w:rPr>
        <w:t xml:space="preserve"> </w:t>
      </w:r>
      <w:r w:rsidRPr="008A2D83">
        <w:rPr>
          <w:b/>
          <w:bCs/>
        </w:rPr>
        <w:t xml:space="preserve">un análisis a partir del concepto de soberanías en conflicto </w:t>
      </w:r>
    </w:p>
    <w:p w:rsidR="002258CD" w:rsidRPr="008A2D83" w:rsidRDefault="002258CD" w:rsidP="004636E3">
      <w:pPr>
        <w:pStyle w:val="Default"/>
        <w:jc w:val="both"/>
        <w:rPr>
          <w:b/>
        </w:rPr>
      </w:pPr>
    </w:p>
    <w:p w:rsidR="002258CD" w:rsidRPr="008A2D83" w:rsidRDefault="003E51D3" w:rsidP="004636E3">
      <w:pPr>
        <w:pStyle w:val="Default"/>
        <w:jc w:val="both"/>
        <w:rPr>
          <w:b/>
        </w:rPr>
      </w:pPr>
      <w:r w:rsidRPr="008A2D83">
        <w:rPr>
          <w:b/>
        </w:rPr>
        <w:t>Introducción</w:t>
      </w:r>
    </w:p>
    <w:p w:rsidR="009C26A7" w:rsidRPr="008A2D83" w:rsidRDefault="009C26A7" w:rsidP="004636E3">
      <w:pPr>
        <w:pStyle w:val="Default"/>
        <w:jc w:val="both"/>
      </w:pPr>
    </w:p>
    <w:p w:rsidR="006C2873" w:rsidRDefault="009C26A7" w:rsidP="00012BA3">
      <w:pPr>
        <w:pStyle w:val="Default"/>
        <w:jc w:val="both"/>
      </w:pPr>
      <w:r w:rsidRPr="008A2D83">
        <w:t>Desde el surgimiento de la movilización socioambiental contra el desarrollo de la minería transnacional en Argentina en</w:t>
      </w:r>
      <w:r w:rsidR="00431111">
        <w:t>tre 2002 y</w:t>
      </w:r>
      <w:r w:rsidRPr="008A2D83">
        <w:t xml:space="preserve"> 2012, sus efectos legislativos se concentraron principalmente a escala</w:t>
      </w:r>
      <w:r w:rsidR="00A13430" w:rsidRPr="008A2D83">
        <w:t xml:space="preserve"> de la soberanía</w:t>
      </w:r>
      <w:r w:rsidR="00431111">
        <w:t xml:space="preserve"> subnacional</w:t>
      </w:r>
      <w:r w:rsidR="00F339B7">
        <w:t xml:space="preserve">. </w:t>
      </w:r>
      <w:r w:rsidRPr="008A2D83">
        <w:t xml:space="preserve">En un contexto donde más de la mitad de las 24 provincias están atravesadas por este tipo de </w:t>
      </w:r>
      <w:r w:rsidRPr="00BE5DE4">
        <w:t>conflicto</w:t>
      </w:r>
      <w:r w:rsidR="00BE5DE4" w:rsidRPr="00BE5DE4">
        <w:t>s</w:t>
      </w:r>
      <w:r w:rsidRPr="00BE5DE4">
        <w:t>,</w:t>
      </w:r>
      <w:r w:rsidRPr="008A2D83">
        <w:t xml:space="preserve"> 9 legislaturas provinciales sancionaron leyes que</w:t>
      </w:r>
      <w:r w:rsidR="00431111">
        <w:t xml:space="preserve"> prohíben la explotación minera</w:t>
      </w:r>
      <w:r w:rsidRPr="008A2D83">
        <w:t>.</w:t>
      </w:r>
      <w:r w:rsidR="006C2873">
        <w:rPr>
          <w:rStyle w:val="Appeldenotedefin"/>
        </w:rPr>
        <w:endnoteReference w:id="1"/>
      </w:r>
      <w:r w:rsidR="006C2873" w:rsidRPr="008A2D83">
        <w:t xml:space="preserve"> En octubre de 2010, se sancionó a escala de la soberanía federal el régimen de presupuestos mínimos para la preservación de los glaciares y del ambiente periglacial</w:t>
      </w:r>
      <w:r w:rsidR="006C2873">
        <w:t xml:space="preserve"> (Ley nº 26.418, en adelante Ley de Glaciares)</w:t>
      </w:r>
      <w:r w:rsidR="006C2873" w:rsidRPr="008A2D83">
        <w:t xml:space="preserve">, el cual prohíbe, entre otros puntos, la exploración y explotación minera e hidrocarburífera en zonas glaciares. </w:t>
      </w:r>
    </w:p>
    <w:p w:rsidR="006C2873" w:rsidRDefault="006C2873" w:rsidP="00012BA3">
      <w:pPr>
        <w:pStyle w:val="Default"/>
        <w:jc w:val="both"/>
      </w:pPr>
      <w:r w:rsidRPr="00F96878">
        <w:tab/>
        <w:t>La hipótesis principal que sostenemos en este artículo es que la posibilidad de escalamiento de la movilización socioambiental de la soberanía subnacional a la soberanía federal en el proceso de sanción de la Ley de Glaciares estuvo condicionada por dos dimensiones principales: el mayor grado de apertura política y el mayor grado de organización y articulación de los distintos actores que integran la movilización socioambiental</w:t>
      </w:r>
      <w:r>
        <w:t xml:space="preserve">. </w:t>
      </w:r>
      <w:r w:rsidRPr="008A2D83">
        <w:t>Siguiendo</w:t>
      </w:r>
      <w:r w:rsidR="00F339B7">
        <w:t xml:space="preserve"> </w:t>
      </w:r>
      <w:r w:rsidRPr="008A2D83">
        <w:t>esta hipótesis de trabajo este artículo busca responder a partir del concepto de soberanías en conflicto a una pregunta principal: ¿Por qué surge y se logra sancionar la Ley de Glaciares?</w:t>
      </w:r>
      <w:r w:rsidR="00F339B7">
        <w:rPr>
          <w:rStyle w:val="Marquedecommentaire"/>
          <w:rFonts w:ascii="Calibri" w:eastAsia="Times New Roman" w:hAnsi="Calibri"/>
          <w:color w:val="auto"/>
          <w:lang w:val="es-AR" w:eastAsia="ar-SA"/>
        </w:rPr>
        <w:t xml:space="preserve"> </w:t>
      </w:r>
    </w:p>
    <w:p w:rsidR="006C2873" w:rsidRPr="00F96878" w:rsidRDefault="006C2873" w:rsidP="00012BA3">
      <w:pPr>
        <w:pStyle w:val="Default"/>
        <w:jc w:val="both"/>
      </w:pPr>
      <w:r w:rsidRPr="00F96878">
        <w:tab/>
      </w:r>
      <w:r w:rsidR="00631F47" w:rsidRPr="00F96878">
        <w:t xml:space="preserve">En la última década distintos estudios analizaron </w:t>
      </w:r>
      <w:r w:rsidRPr="00F96878">
        <w:t>distintos casos de conflictos ligados al avance de las industrias extractivas en América Latina (Arsel, Hogenboom, Pellegrini 2016; Bebbington y Bury 2013) Sin embargo, el análisis de la sanción de legislaciones que regulan la minería a gran escala en respuesta a la movilización socioambiental ha recibido escasa atención (Broad y Cavanagh 2015). El artículo pretende contribuir a esa ausencia en la literatura en un doble sentido: en términos empíricos a través del estudio de la sanción de la Ley de Glaciares en Argentina, y en términos teóricos proponiendo el marco conceptual de soberanías en conflicto.</w:t>
      </w:r>
    </w:p>
    <w:p w:rsidR="00F96878" w:rsidRDefault="00F96878" w:rsidP="00F96878">
      <w:pPr>
        <w:spacing w:line="240" w:lineRule="auto"/>
        <w:jc w:val="both"/>
        <w:rPr>
          <w:rFonts w:ascii="Times New Roman" w:eastAsia="MS Mincho" w:hAnsi="Times New Roman"/>
          <w:color w:val="000000"/>
          <w:sz w:val="24"/>
          <w:szCs w:val="24"/>
          <w:lang w:val="es-ES" w:eastAsia="en-US"/>
        </w:rPr>
      </w:pPr>
      <w:r>
        <w:rPr>
          <w:rFonts w:ascii="Times New Roman" w:eastAsia="MS Mincho" w:hAnsi="Times New Roman"/>
          <w:color w:val="000000"/>
          <w:sz w:val="24"/>
          <w:szCs w:val="24"/>
          <w:lang w:val="es-ES" w:eastAsia="en-US"/>
        </w:rPr>
        <w:tab/>
        <w:t>Este trabajo emplea</w:t>
      </w:r>
      <w:r w:rsidRPr="00F96878">
        <w:rPr>
          <w:rFonts w:ascii="Times New Roman" w:eastAsia="MS Mincho" w:hAnsi="Times New Roman"/>
          <w:color w:val="000000"/>
          <w:sz w:val="24"/>
          <w:szCs w:val="24"/>
          <w:lang w:val="es-ES" w:eastAsia="en-US"/>
        </w:rPr>
        <w:t xml:space="preserve"> una metodología cualitativa a los fines de comp</w:t>
      </w:r>
      <w:r>
        <w:rPr>
          <w:rFonts w:ascii="Times New Roman" w:eastAsia="MS Mincho" w:hAnsi="Times New Roman"/>
          <w:color w:val="000000"/>
          <w:sz w:val="24"/>
          <w:szCs w:val="24"/>
          <w:lang w:val="es-ES" w:eastAsia="en-US"/>
        </w:rPr>
        <w:t>render el fenómeno bajo estudio.</w:t>
      </w:r>
      <w:r w:rsidRPr="00F96878">
        <w:rPr>
          <w:rFonts w:ascii="Times New Roman" w:eastAsia="MS Mincho" w:hAnsi="Times New Roman"/>
          <w:color w:val="000000"/>
          <w:sz w:val="24"/>
          <w:szCs w:val="24"/>
          <w:lang w:val="es-ES" w:eastAsia="en-US"/>
        </w:rPr>
        <w:t xml:space="preserve"> </w:t>
      </w:r>
      <w:r>
        <w:rPr>
          <w:rFonts w:ascii="Times New Roman" w:eastAsia="MS Mincho" w:hAnsi="Times New Roman"/>
          <w:color w:val="000000"/>
          <w:sz w:val="24"/>
          <w:szCs w:val="24"/>
          <w:lang w:val="es-ES" w:eastAsia="en-US"/>
        </w:rPr>
        <w:t xml:space="preserve">Se basa en el análisis de debates legislativos y en 10 </w:t>
      </w:r>
      <w:r w:rsidRPr="00F96878">
        <w:rPr>
          <w:rFonts w:ascii="Times New Roman" w:eastAsia="MS Mincho" w:hAnsi="Times New Roman"/>
          <w:color w:val="000000"/>
          <w:sz w:val="24"/>
          <w:szCs w:val="24"/>
          <w:lang w:val="es-ES" w:eastAsia="en-US"/>
        </w:rPr>
        <w:t>entrevista</w:t>
      </w:r>
      <w:r>
        <w:rPr>
          <w:rFonts w:ascii="Times New Roman" w:eastAsia="MS Mincho" w:hAnsi="Times New Roman"/>
          <w:color w:val="000000"/>
          <w:sz w:val="24"/>
          <w:szCs w:val="24"/>
          <w:lang w:val="es-ES" w:eastAsia="en-US"/>
        </w:rPr>
        <w:t>s personales semiestructuradas con</w:t>
      </w:r>
      <w:r w:rsidRPr="00F96878">
        <w:rPr>
          <w:rFonts w:ascii="Times New Roman" w:eastAsia="MS Mincho" w:hAnsi="Times New Roman"/>
          <w:color w:val="000000"/>
          <w:sz w:val="24"/>
          <w:szCs w:val="24"/>
          <w:lang w:val="es-ES" w:eastAsia="en-US"/>
        </w:rPr>
        <w:t xml:space="preserve"> actores claves</w:t>
      </w:r>
      <w:r>
        <w:rPr>
          <w:rFonts w:ascii="Times New Roman" w:eastAsia="MS Mincho" w:hAnsi="Times New Roman"/>
          <w:color w:val="000000"/>
          <w:sz w:val="24"/>
          <w:szCs w:val="24"/>
          <w:lang w:val="es-ES" w:eastAsia="en-US"/>
        </w:rPr>
        <w:t xml:space="preserve"> que participaron en el proceso e</w:t>
      </w:r>
      <w:r w:rsidRPr="00F96878">
        <w:rPr>
          <w:rFonts w:ascii="Times New Roman" w:eastAsia="MS Mincho" w:hAnsi="Times New Roman"/>
          <w:color w:val="000000"/>
          <w:sz w:val="24"/>
          <w:szCs w:val="24"/>
          <w:lang w:val="es-ES" w:eastAsia="en-US"/>
        </w:rPr>
        <w:t xml:space="preserve">ntre los meses de marzo y </w:t>
      </w:r>
      <w:r>
        <w:rPr>
          <w:rFonts w:ascii="Times New Roman" w:eastAsia="MS Mincho" w:hAnsi="Times New Roman"/>
          <w:color w:val="000000"/>
          <w:sz w:val="24"/>
          <w:szCs w:val="24"/>
          <w:lang w:val="es-ES" w:eastAsia="en-US"/>
        </w:rPr>
        <w:t xml:space="preserve">agosto de 2016 se han realizado. </w:t>
      </w:r>
    </w:p>
    <w:p w:rsidR="006C2873" w:rsidRPr="00F96878" w:rsidRDefault="00F96878" w:rsidP="00F96878">
      <w:pPr>
        <w:spacing w:line="240" w:lineRule="auto"/>
        <w:jc w:val="both"/>
        <w:rPr>
          <w:rFonts w:ascii="Times New Roman" w:eastAsia="MS Mincho" w:hAnsi="Times New Roman"/>
          <w:color w:val="000000"/>
          <w:sz w:val="24"/>
          <w:szCs w:val="24"/>
          <w:lang w:val="es-ES" w:eastAsia="en-US"/>
        </w:rPr>
      </w:pPr>
      <w:r>
        <w:rPr>
          <w:rFonts w:ascii="Times New Roman" w:eastAsia="MS Mincho" w:hAnsi="Times New Roman"/>
          <w:color w:val="000000"/>
          <w:sz w:val="24"/>
          <w:szCs w:val="24"/>
          <w:lang w:val="es-ES" w:eastAsia="en-US"/>
        </w:rPr>
        <w:tab/>
      </w:r>
      <w:r w:rsidR="006C2873" w:rsidRPr="00F96878">
        <w:rPr>
          <w:rFonts w:ascii="Times New Roman" w:hAnsi="Times New Roman"/>
          <w:sz w:val="24"/>
          <w:szCs w:val="24"/>
        </w:rPr>
        <w:t>E</w:t>
      </w:r>
      <w:r w:rsidR="00F339B7" w:rsidRPr="00F96878">
        <w:rPr>
          <w:rFonts w:ascii="Times New Roman" w:hAnsi="Times New Roman"/>
          <w:sz w:val="24"/>
          <w:szCs w:val="24"/>
        </w:rPr>
        <w:t>l</w:t>
      </w:r>
      <w:r w:rsidR="006C2873" w:rsidRPr="00F96878">
        <w:rPr>
          <w:rFonts w:ascii="Times New Roman" w:hAnsi="Times New Roman"/>
          <w:sz w:val="24"/>
          <w:szCs w:val="24"/>
        </w:rPr>
        <w:t xml:space="preserve"> artículo se organiza de la siguiente forma. En primer lugar, realizamos una breve síntesis de las principales reformas legislativas que impulsaron la actividad minera en Argentina. En segundo lugar, explicamos el concepto de soberanías en conflicto, pues asumimos que los conflictos socioambientales reconfiguran dos dimensiones principales de la soberanía: el poder y el territorio. En tercer lugar, se analizan las características de la movilización socioambiental por la Ley de Glaciares que contó con la participación de más de 100 organizaciones y recolectó</w:t>
      </w:r>
      <w:r w:rsidR="00631F47" w:rsidRPr="00F96878">
        <w:rPr>
          <w:rFonts w:ascii="Times New Roman" w:hAnsi="Times New Roman"/>
          <w:sz w:val="24"/>
          <w:szCs w:val="24"/>
        </w:rPr>
        <w:t xml:space="preserve"> más de 150.000 firmas de apoyo. </w:t>
      </w:r>
      <w:r w:rsidR="006C2873" w:rsidRPr="00F96878">
        <w:rPr>
          <w:rFonts w:ascii="Times New Roman" w:hAnsi="Times New Roman"/>
          <w:sz w:val="24"/>
          <w:szCs w:val="24"/>
        </w:rPr>
        <w:t xml:space="preserve">En cuarto lugar, se estudian los efectos de esa movilización a nivel de la soberanía federal, y las respuestas del Poder Ejecutivo Nacional y los distintos bloques legislativos. Por último, las consecuencias y respuestas de esa Ley a escala de la soberanía subnacional. </w:t>
      </w:r>
    </w:p>
    <w:p w:rsidR="006C2873" w:rsidRPr="00E001EF" w:rsidRDefault="006C2873" w:rsidP="00E001EF">
      <w:pPr>
        <w:spacing w:after="0" w:line="240" w:lineRule="auto"/>
        <w:ind w:firstLine="709"/>
        <w:jc w:val="both"/>
        <w:rPr>
          <w:rFonts w:ascii="Times New Roman" w:eastAsiaTheme="minorHAnsi" w:hAnsi="Times New Roman"/>
          <w:color w:val="000000"/>
          <w:sz w:val="24"/>
          <w:szCs w:val="24"/>
          <w:lang w:val="es-ES" w:eastAsia="en-US"/>
        </w:rPr>
      </w:pPr>
    </w:p>
    <w:p w:rsidR="006C2873" w:rsidRPr="000878C1" w:rsidRDefault="006C2873" w:rsidP="00012BA3">
      <w:pPr>
        <w:spacing w:after="0" w:line="240" w:lineRule="auto"/>
        <w:jc w:val="both"/>
        <w:rPr>
          <w:rFonts w:ascii="Times New Roman" w:hAnsi="Times New Roman"/>
          <w:b/>
          <w:sz w:val="24"/>
          <w:szCs w:val="24"/>
        </w:rPr>
      </w:pPr>
      <w:r w:rsidRPr="000878C1">
        <w:rPr>
          <w:rFonts w:ascii="Times New Roman" w:hAnsi="Times New Roman"/>
          <w:b/>
          <w:sz w:val="24"/>
          <w:szCs w:val="24"/>
        </w:rPr>
        <w:t>La actividad minera e</w:t>
      </w:r>
      <w:r>
        <w:rPr>
          <w:rFonts w:ascii="Times New Roman" w:hAnsi="Times New Roman"/>
          <w:b/>
          <w:sz w:val="24"/>
          <w:szCs w:val="24"/>
        </w:rPr>
        <w:t xml:space="preserve">n Argentina. Principales reformas legislativas </w:t>
      </w:r>
    </w:p>
    <w:p w:rsidR="006C2873" w:rsidRPr="000878C1" w:rsidRDefault="006C2873" w:rsidP="00012BA3">
      <w:pPr>
        <w:spacing w:after="0" w:line="240" w:lineRule="auto"/>
        <w:jc w:val="both"/>
        <w:rPr>
          <w:rFonts w:ascii="Times New Roman" w:hAnsi="Times New Roman"/>
          <w:b/>
          <w:sz w:val="24"/>
          <w:szCs w:val="24"/>
        </w:rPr>
      </w:pPr>
    </w:p>
    <w:p w:rsidR="006C2873" w:rsidRPr="000878C1" w:rsidRDefault="006C2873" w:rsidP="00012BA3">
      <w:pPr>
        <w:spacing w:after="0" w:line="240" w:lineRule="auto"/>
        <w:jc w:val="both"/>
        <w:rPr>
          <w:rFonts w:ascii="Times New Roman" w:hAnsi="Times New Roman"/>
          <w:sz w:val="24"/>
          <w:szCs w:val="24"/>
        </w:rPr>
      </w:pPr>
      <w:r w:rsidRPr="000878C1">
        <w:rPr>
          <w:rFonts w:ascii="Times New Roman" w:hAnsi="Times New Roman"/>
          <w:sz w:val="24"/>
          <w:szCs w:val="24"/>
        </w:rPr>
        <w:t>En apenas veinte años el escenario minero en Argentina se transformó radicalmente. La minería pasó de ser una actividad económica rezagada a p</w:t>
      </w:r>
      <w:r>
        <w:rPr>
          <w:rFonts w:ascii="Times New Roman" w:hAnsi="Times New Roman"/>
          <w:sz w:val="24"/>
          <w:szCs w:val="24"/>
        </w:rPr>
        <w:t>rincipios de la década de los noventa</w:t>
      </w:r>
      <w:r w:rsidRPr="000878C1">
        <w:rPr>
          <w:rFonts w:ascii="Times New Roman" w:hAnsi="Times New Roman"/>
          <w:sz w:val="24"/>
          <w:szCs w:val="24"/>
        </w:rPr>
        <w:t xml:space="preserve"> a ser una política de estad</w:t>
      </w:r>
      <w:r w:rsidR="00631F47">
        <w:rPr>
          <w:rFonts w:ascii="Times New Roman" w:hAnsi="Times New Roman"/>
          <w:sz w:val="24"/>
          <w:szCs w:val="24"/>
        </w:rPr>
        <w:t xml:space="preserve">o y una apuesta estratégica </w:t>
      </w:r>
      <w:r>
        <w:rPr>
          <w:rFonts w:ascii="Times New Roman" w:hAnsi="Times New Roman"/>
          <w:sz w:val="24"/>
          <w:szCs w:val="24"/>
        </w:rPr>
        <w:t>para mediados del año</w:t>
      </w:r>
      <w:r w:rsidRPr="000878C1">
        <w:rPr>
          <w:rFonts w:ascii="Times New Roman" w:hAnsi="Times New Roman"/>
          <w:sz w:val="24"/>
          <w:szCs w:val="24"/>
        </w:rPr>
        <w:t xml:space="preserve"> 2000</w:t>
      </w:r>
      <w:r>
        <w:rPr>
          <w:rFonts w:ascii="Times New Roman" w:hAnsi="Times New Roman"/>
          <w:sz w:val="24"/>
          <w:szCs w:val="24"/>
        </w:rPr>
        <w:t>.</w:t>
      </w:r>
      <w:r w:rsidR="00E83BA9">
        <w:rPr>
          <w:rFonts w:ascii="Times New Roman" w:hAnsi="Times New Roman"/>
          <w:sz w:val="24"/>
          <w:szCs w:val="24"/>
        </w:rPr>
        <w:t xml:space="preserve"> </w:t>
      </w:r>
      <w:r w:rsidR="002B06A2" w:rsidRPr="00F96878">
        <w:rPr>
          <w:rFonts w:ascii="Times New Roman" w:hAnsi="Times New Roman"/>
          <w:sz w:val="24"/>
          <w:szCs w:val="24"/>
        </w:rPr>
        <w:t>En términos porcentuales pasó del 0,22</w:t>
      </w:r>
      <w:r w:rsidR="00F96878" w:rsidRPr="00F96878">
        <w:rPr>
          <w:rFonts w:ascii="Times New Roman" w:hAnsi="Times New Roman"/>
          <w:sz w:val="24"/>
          <w:szCs w:val="24"/>
        </w:rPr>
        <w:t xml:space="preserve"> %</w:t>
      </w:r>
      <w:r w:rsidR="002B06A2" w:rsidRPr="00F96878">
        <w:rPr>
          <w:rFonts w:ascii="Times New Roman" w:hAnsi="Times New Roman"/>
          <w:sz w:val="24"/>
          <w:szCs w:val="24"/>
        </w:rPr>
        <w:t xml:space="preserve"> </w:t>
      </w:r>
      <w:r w:rsidR="00E83BA9" w:rsidRPr="00F96878">
        <w:rPr>
          <w:rFonts w:ascii="Times New Roman" w:hAnsi="Times New Roman"/>
          <w:sz w:val="24"/>
          <w:szCs w:val="24"/>
        </w:rPr>
        <w:t xml:space="preserve">en 1993 </w:t>
      </w:r>
      <w:r w:rsidR="00F96878" w:rsidRPr="00F96878">
        <w:rPr>
          <w:rFonts w:ascii="Times New Roman" w:hAnsi="Times New Roman"/>
          <w:sz w:val="24"/>
          <w:szCs w:val="24"/>
        </w:rPr>
        <w:t>a cerca del 4% en</w:t>
      </w:r>
      <w:r w:rsidR="002B06A2" w:rsidRPr="00F96878">
        <w:rPr>
          <w:rFonts w:ascii="Times New Roman" w:hAnsi="Times New Roman"/>
          <w:sz w:val="24"/>
          <w:szCs w:val="24"/>
        </w:rPr>
        <w:t xml:space="preserve"> 2011 (Secretaría de Minería de la Nación, 2012).</w:t>
      </w:r>
      <w:r w:rsidRPr="000878C1">
        <w:rPr>
          <w:rFonts w:ascii="Times New Roman" w:hAnsi="Times New Roman"/>
          <w:sz w:val="24"/>
          <w:szCs w:val="24"/>
        </w:rPr>
        <w:t xml:space="preserve"> En tanto, a la par que en ciertas provincias avanzaron las inversiones mineras, las protestas sociales contra la actividad impulsaron normativas de prohibición minera.</w:t>
      </w:r>
      <w:r w:rsidR="00E83BA9">
        <w:rPr>
          <w:rFonts w:ascii="Times New Roman" w:hAnsi="Times New Roman"/>
          <w:sz w:val="24"/>
          <w:szCs w:val="24"/>
        </w:rPr>
        <w:t xml:space="preserve"> </w:t>
      </w:r>
      <w:r w:rsidRPr="00E83BA9">
        <w:rPr>
          <w:rFonts w:ascii="Times New Roman" w:hAnsi="Times New Roman"/>
          <w:sz w:val="24"/>
          <w:szCs w:val="24"/>
        </w:rPr>
        <w:t xml:space="preserve">Esta sección, no pretende </w:t>
      </w:r>
      <w:r w:rsidR="00DE4FD5" w:rsidRPr="00E83BA9">
        <w:rPr>
          <w:rFonts w:ascii="Times New Roman" w:hAnsi="Times New Roman"/>
          <w:sz w:val="24"/>
          <w:szCs w:val="24"/>
        </w:rPr>
        <w:t>discutir</w:t>
      </w:r>
      <w:r w:rsidR="00E83BA9">
        <w:rPr>
          <w:rFonts w:ascii="Times New Roman" w:hAnsi="Times New Roman"/>
          <w:sz w:val="24"/>
          <w:szCs w:val="24"/>
        </w:rPr>
        <w:t xml:space="preserve"> </w:t>
      </w:r>
      <w:r w:rsidRPr="00E83BA9">
        <w:rPr>
          <w:rFonts w:ascii="Times New Roman" w:hAnsi="Times New Roman"/>
          <w:sz w:val="24"/>
          <w:szCs w:val="24"/>
        </w:rPr>
        <w:t xml:space="preserve">de manera exhaustiva la </w:t>
      </w:r>
      <w:r w:rsidR="00631F47">
        <w:rPr>
          <w:rFonts w:ascii="Times New Roman" w:hAnsi="Times New Roman"/>
          <w:sz w:val="24"/>
          <w:szCs w:val="24"/>
        </w:rPr>
        <w:t>legislación minera</w:t>
      </w:r>
      <w:r w:rsidRPr="00E83BA9">
        <w:rPr>
          <w:rFonts w:ascii="Times New Roman" w:hAnsi="Times New Roman"/>
          <w:sz w:val="24"/>
          <w:szCs w:val="24"/>
        </w:rPr>
        <w:t xml:space="preserve"> sino exponer las principales reformas de las</w:t>
      </w:r>
      <w:r w:rsidR="00E83BA9">
        <w:rPr>
          <w:rFonts w:ascii="Times New Roman" w:hAnsi="Times New Roman"/>
          <w:sz w:val="24"/>
          <w:szCs w:val="24"/>
        </w:rPr>
        <w:t xml:space="preserve"> </w:t>
      </w:r>
      <w:r w:rsidRPr="00E83BA9">
        <w:rPr>
          <w:rFonts w:ascii="Times New Roman" w:hAnsi="Times New Roman"/>
          <w:sz w:val="24"/>
          <w:szCs w:val="24"/>
        </w:rPr>
        <w:t>últimas décadas.</w:t>
      </w:r>
    </w:p>
    <w:p w:rsidR="006C2873" w:rsidRDefault="006C2873" w:rsidP="00850CAD">
      <w:pPr>
        <w:spacing w:after="0" w:line="240" w:lineRule="auto"/>
        <w:jc w:val="both"/>
        <w:rPr>
          <w:rFonts w:ascii="Times New Roman" w:hAnsi="Times New Roman"/>
          <w:sz w:val="24"/>
          <w:szCs w:val="24"/>
        </w:rPr>
      </w:pPr>
      <w:r>
        <w:rPr>
          <w:rFonts w:ascii="Times New Roman" w:hAnsi="Times New Roman"/>
          <w:sz w:val="24"/>
          <w:szCs w:val="24"/>
        </w:rPr>
        <w:tab/>
      </w:r>
      <w:r w:rsidRPr="000878C1">
        <w:rPr>
          <w:rFonts w:ascii="Times New Roman" w:hAnsi="Times New Roman"/>
          <w:sz w:val="24"/>
          <w:szCs w:val="24"/>
        </w:rPr>
        <w:t>A partir de los primeros años de la década de</w:t>
      </w:r>
      <w:r>
        <w:rPr>
          <w:rFonts w:ascii="Times New Roman" w:hAnsi="Times New Roman"/>
          <w:sz w:val="24"/>
          <w:szCs w:val="24"/>
        </w:rPr>
        <w:t>l noventa, el Estado argentino impulsó</w:t>
      </w:r>
      <w:r w:rsidR="00631F47">
        <w:rPr>
          <w:rFonts w:ascii="Times New Roman" w:hAnsi="Times New Roman"/>
          <w:sz w:val="24"/>
          <w:szCs w:val="24"/>
        </w:rPr>
        <w:t xml:space="preserve"> un conjunto de reformas</w:t>
      </w:r>
      <w:r w:rsidRPr="000878C1">
        <w:rPr>
          <w:rFonts w:ascii="Times New Roman" w:hAnsi="Times New Roman"/>
          <w:sz w:val="24"/>
          <w:szCs w:val="24"/>
        </w:rPr>
        <w:t xml:space="preserve"> que fundaron un nuevo marco jurídico-político. Este proceso de reformas tuvo su correlato en el sector minero con la sanción del Régimen de Inversiones Mineras, ley nº 24.196, en mayo de 1993 (Moorí-Koenig 2000; </w:t>
      </w:r>
      <w:r w:rsidRPr="00F96878">
        <w:rPr>
          <w:rFonts w:ascii="Times New Roman" w:hAnsi="Times New Roman"/>
          <w:sz w:val="24"/>
          <w:szCs w:val="24"/>
        </w:rPr>
        <w:t>Svampa y Antonelli 2009)</w:t>
      </w:r>
      <w:r w:rsidRPr="000878C1">
        <w:rPr>
          <w:rFonts w:ascii="Times New Roman" w:hAnsi="Times New Roman"/>
          <w:sz w:val="24"/>
          <w:szCs w:val="24"/>
        </w:rPr>
        <w:t xml:space="preserve">. </w:t>
      </w:r>
      <w:r w:rsidR="006D7140">
        <w:rPr>
          <w:rFonts w:ascii="Times New Roman" w:hAnsi="Times New Roman"/>
          <w:sz w:val="24"/>
          <w:szCs w:val="24"/>
        </w:rPr>
        <w:t>Esta</w:t>
      </w:r>
      <w:r w:rsidRPr="000878C1">
        <w:rPr>
          <w:rFonts w:ascii="Times New Roman" w:hAnsi="Times New Roman"/>
          <w:sz w:val="24"/>
          <w:szCs w:val="24"/>
        </w:rPr>
        <w:t xml:space="preserve"> ley garantizó estabilidad fiscal y exenciones impositivas para los inversores y estableció un esquema de cobro provincial de regalías</w:t>
      </w:r>
      <w:r w:rsidR="006D7140">
        <w:rPr>
          <w:rFonts w:ascii="Times New Roman" w:hAnsi="Times New Roman"/>
          <w:sz w:val="24"/>
          <w:szCs w:val="24"/>
        </w:rPr>
        <w:t>, imposibilitado de</w:t>
      </w:r>
      <w:r w:rsidR="002B06A2">
        <w:rPr>
          <w:rFonts w:ascii="Times New Roman" w:hAnsi="Times New Roman"/>
          <w:sz w:val="24"/>
          <w:szCs w:val="24"/>
        </w:rPr>
        <w:t xml:space="preserve"> exceder el 3% del valor del mineral</w:t>
      </w:r>
      <w:r>
        <w:rPr>
          <w:rFonts w:ascii="Times New Roman" w:hAnsi="Times New Roman"/>
          <w:sz w:val="24"/>
          <w:szCs w:val="24"/>
        </w:rPr>
        <w:t>.</w:t>
      </w:r>
    </w:p>
    <w:p w:rsidR="006C2873" w:rsidRPr="00850CAD" w:rsidRDefault="006C2873" w:rsidP="00850CAD">
      <w:pPr>
        <w:spacing w:after="0" w:line="240" w:lineRule="auto"/>
        <w:jc w:val="both"/>
        <w:rPr>
          <w:rFonts w:ascii="Times New Roman" w:hAnsi="Times New Roman"/>
          <w:sz w:val="24"/>
          <w:szCs w:val="24"/>
        </w:rPr>
      </w:pPr>
      <w:r>
        <w:rPr>
          <w:rFonts w:ascii="Times New Roman" w:hAnsi="Times New Roman"/>
          <w:sz w:val="24"/>
          <w:szCs w:val="24"/>
        </w:rPr>
        <w:tab/>
        <w:t>L</w:t>
      </w:r>
      <w:r w:rsidRPr="000878C1">
        <w:rPr>
          <w:rFonts w:ascii="Times New Roman" w:hAnsi="Times New Roman"/>
          <w:sz w:val="24"/>
          <w:szCs w:val="24"/>
        </w:rPr>
        <w:t xml:space="preserve">a </w:t>
      </w:r>
      <w:r>
        <w:rPr>
          <w:rFonts w:ascii="Times New Roman" w:hAnsi="Times New Roman"/>
          <w:sz w:val="24"/>
          <w:szCs w:val="24"/>
        </w:rPr>
        <w:t>Reforma de la Constitución Argentina de</w:t>
      </w:r>
      <w:r w:rsidR="006D7140">
        <w:rPr>
          <w:rFonts w:ascii="Times New Roman" w:hAnsi="Times New Roman"/>
          <w:sz w:val="24"/>
          <w:szCs w:val="24"/>
        </w:rPr>
        <w:t xml:space="preserve"> (CN)</w:t>
      </w:r>
      <w:r>
        <w:rPr>
          <w:rFonts w:ascii="Times New Roman" w:hAnsi="Times New Roman"/>
          <w:sz w:val="24"/>
          <w:szCs w:val="24"/>
        </w:rPr>
        <w:t xml:space="preserve"> 1994 </w:t>
      </w:r>
      <w:r w:rsidRPr="000878C1">
        <w:rPr>
          <w:rFonts w:ascii="Times New Roman" w:hAnsi="Times New Roman"/>
          <w:sz w:val="24"/>
          <w:szCs w:val="24"/>
        </w:rPr>
        <w:t xml:space="preserve">otorgó rango constitucional al dominio originario de las provincias sobre los recursos naturales existentes </w:t>
      </w:r>
      <w:r w:rsidR="00F339B7">
        <w:rPr>
          <w:rFonts w:ascii="Times New Roman" w:hAnsi="Times New Roman"/>
          <w:sz w:val="24"/>
          <w:szCs w:val="24"/>
        </w:rPr>
        <w:t xml:space="preserve">en su territorio. Este aspecto </w:t>
      </w:r>
      <w:r w:rsidRPr="000878C1">
        <w:rPr>
          <w:rFonts w:ascii="Times New Roman" w:hAnsi="Times New Roman"/>
          <w:sz w:val="24"/>
          <w:szCs w:val="24"/>
        </w:rPr>
        <w:t>es un elemento clave para comprender las políticas ambientales en Argentin</w:t>
      </w:r>
      <w:r w:rsidR="002B06A2">
        <w:rPr>
          <w:rFonts w:ascii="Times New Roman" w:hAnsi="Times New Roman"/>
          <w:sz w:val="24"/>
          <w:szCs w:val="24"/>
        </w:rPr>
        <w:t>a</w:t>
      </w:r>
      <w:r w:rsidR="002B06A2" w:rsidRPr="00F96878">
        <w:rPr>
          <w:rFonts w:ascii="Times New Roman" w:hAnsi="Times New Roman"/>
          <w:sz w:val="24"/>
          <w:szCs w:val="24"/>
        </w:rPr>
        <w:t xml:space="preserve">, un país republicano federal compuesto por 23 provincias y una ciudad </w:t>
      </w:r>
      <w:r w:rsidR="006D7140" w:rsidRPr="00F96878">
        <w:rPr>
          <w:rFonts w:ascii="Times New Roman" w:hAnsi="Times New Roman"/>
          <w:sz w:val="24"/>
          <w:szCs w:val="24"/>
        </w:rPr>
        <w:t>capital autónoma</w:t>
      </w:r>
      <w:r w:rsidR="002B06A2" w:rsidRPr="00F96878">
        <w:rPr>
          <w:rFonts w:ascii="Times New Roman" w:hAnsi="Times New Roman"/>
          <w:sz w:val="24"/>
          <w:szCs w:val="24"/>
        </w:rPr>
        <w:t>.</w:t>
      </w:r>
      <w:r w:rsidRPr="000878C1">
        <w:rPr>
          <w:rFonts w:ascii="Times New Roman" w:hAnsi="Times New Roman"/>
          <w:sz w:val="24"/>
          <w:szCs w:val="24"/>
        </w:rPr>
        <w:t xml:space="preserve"> Si bien históricamente se ha respetado la propiedad prov</w:t>
      </w:r>
      <w:r w:rsidR="006D7140">
        <w:rPr>
          <w:rFonts w:ascii="Times New Roman" w:hAnsi="Times New Roman"/>
          <w:sz w:val="24"/>
          <w:szCs w:val="24"/>
        </w:rPr>
        <w:t>incial de los recursos</w:t>
      </w:r>
      <w:r w:rsidRPr="000878C1">
        <w:rPr>
          <w:rFonts w:ascii="Times New Roman" w:hAnsi="Times New Roman"/>
          <w:sz w:val="24"/>
          <w:szCs w:val="24"/>
        </w:rPr>
        <w:t xml:space="preserve"> (todo lo expresamente no delegado a la nación perma</w:t>
      </w:r>
      <w:r w:rsidR="00F339B7">
        <w:rPr>
          <w:rFonts w:ascii="Times New Roman" w:hAnsi="Times New Roman"/>
          <w:sz w:val="24"/>
          <w:szCs w:val="24"/>
        </w:rPr>
        <w:t>nece en manos de las provincias-Art.</w:t>
      </w:r>
      <w:r w:rsidRPr="000878C1">
        <w:rPr>
          <w:rFonts w:ascii="Times New Roman" w:hAnsi="Times New Roman"/>
          <w:sz w:val="24"/>
          <w:szCs w:val="24"/>
        </w:rPr>
        <w:t xml:space="preserve">75 </w:t>
      </w:r>
      <w:r w:rsidR="00F339B7">
        <w:rPr>
          <w:rFonts w:ascii="Times New Roman" w:hAnsi="Times New Roman"/>
          <w:sz w:val="24"/>
          <w:szCs w:val="24"/>
        </w:rPr>
        <w:t xml:space="preserve">CN) el articulo </w:t>
      </w:r>
      <w:r w:rsidRPr="000878C1">
        <w:rPr>
          <w:rFonts w:ascii="Times New Roman" w:hAnsi="Times New Roman"/>
          <w:sz w:val="24"/>
          <w:szCs w:val="24"/>
        </w:rPr>
        <w:t>124 enfatizó el rol de las provincias en la explotación de los recursos mineros y el cobro de las regalías que había estab</w:t>
      </w:r>
      <w:r w:rsidR="006D7140">
        <w:rPr>
          <w:rFonts w:ascii="Times New Roman" w:hAnsi="Times New Roman"/>
          <w:sz w:val="24"/>
          <w:szCs w:val="24"/>
        </w:rPr>
        <w:t>lecido el régimen de inversión</w:t>
      </w:r>
      <w:r w:rsidRPr="00F96878">
        <w:rPr>
          <w:rFonts w:ascii="Times New Roman" w:hAnsi="Times New Roman"/>
          <w:sz w:val="24"/>
          <w:szCs w:val="24"/>
        </w:rPr>
        <w:t>. Por otra parte, la Reforma de la CN con el objeto de garantizar un mínimo de protección ambiental a escala federal</w:t>
      </w:r>
      <w:r w:rsidR="00BE12A0" w:rsidRPr="00F96878">
        <w:rPr>
          <w:rFonts w:ascii="Times New Roman" w:hAnsi="Times New Roman"/>
          <w:sz w:val="24"/>
          <w:szCs w:val="24"/>
        </w:rPr>
        <w:t xml:space="preserve"> (Art. 41)</w:t>
      </w:r>
      <w:r w:rsidRPr="00F96878">
        <w:rPr>
          <w:rFonts w:ascii="Times New Roman" w:hAnsi="Times New Roman"/>
          <w:sz w:val="24"/>
          <w:szCs w:val="24"/>
        </w:rPr>
        <w:t xml:space="preserve"> facultó al Congreso Nacional con la potestad de crea</w:t>
      </w:r>
      <w:r w:rsidR="006D7140" w:rsidRPr="00F96878">
        <w:rPr>
          <w:rFonts w:ascii="Times New Roman" w:hAnsi="Times New Roman"/>
          <w:sz w:val="24"/>
          <w:szCs w:val="24"/>
        </w:rPr>
        <w:t>r leyes de presupuestos mínimos, permitiendo que las provincias pueda</w:t>
      </w:r>
      <w:r w:rsidRPr="00F96878">
        <w:rPr>
          <w:rFonts w:ascii="Times New Roman" w:hAnsi="Times New Roman"/>
          <w:sz w:val="24"/>
          <w:szCs w:val="24"/>
        </w:rPr>
        <w:t>n sancionar leye</w:t>
      </w:r>
      <w:r w:rsidR="006D7140" w:rsidRPr="00F96878">
        <w:rPr>
          <w:rFonts w:ascii="Times New Roman" w:hAnsi="Times New Roman"/>
          <w:sz w:val="24"/>
          <w:szCs w:val="24"/>
        </w:rPr>
        <w:t xml:space="preserve">s más protectoras del ambiente </w:t>
      </w:r>
      <w:r w:rsidRPr="00F96878">
        <w:rPr>
          <w:rFonts w:ascii="Times New Roman" w:hAnsi="Times New Roman"/>
          <w:sz w:val="24"/>
          <w:szCs w:val="24"/>
        </w:rPr>
        <w:t>pero no meno</w:t>
      </w:r>
      <w:r w:rsidR="006D7140" w:rsidRPr="00F96878">
        <w:rPr>
          <w:rFonts w:ascii="Times New Roman" w:hAnsi="Times New Roman"/>
          <w:sz w:val="24"/>
          <w:szCs w:val="24"/>
        </w:rPr>
        <w:t>res a</w:t>
      </w:r>
      <w:r w:rsidRPr="00F96878">
        <w:rPr>
          <w:rFonts w:ascii="Times New Roman" w:hAnsi="Times New Roman"/>
          <w:sz w:val="24"/>
          <w:szCs w:val="24"/>
        </w:rPr>
        <w:t xml:space="preserve"> los estándares ambientales fijados por legislación federal.</w:t>
      </w:r>
      <w:r w:rsidRPr="00F96878">
        <w:rPr>
          <w:rStyle w:val="Appeldenotedefin"/>
          <w:rFonts w:ascii="Times New Roman" w:hAnsi="Times New Roman"/>
          <w:sz w:val="24"/>
          <w:szCs w:val="24"/>
        </w:rPr>
        <w:endnoteReference w:id="2"/>
      </w:r>
    </w:p>
    <w:p w:rsidR="006C2873" w:rsidRPr="000878C1" w:rsidRDefault="006C2873" w:rsidP="00012BA3">
      <w:pPr>
        <w:spacing w:after="0" w:line="240" w:lineRule="auto"/>
        <w:jc w:val="both"/>
        <w:rPr>
          <w:rFonts w:ascii="Times New Roman" w:hAnsi="Times New Roman"/>
          <w:sz w:val="24"/>
          <w:szCs w:val="24"/>
        </w:rPr>
      </w:pPr>
      <w:r>
        <w:rPr>
          <w:rFonts w:ascii="Times New Roman" w:hAnsi="Times New Roman"/>
          <w:sz w:val="24"/>
          <w:szCs w:val="24"/>
        </w:rPr>
        <w:tab/>
        <w:t>L</w:t>
      </w:r>
      <w:r w:rsidRPr="000878C1">
        <w:rPr>
          <w:rFonts w:ascii="Times New Roman" w:hAnsi="Times New Roman"/>
          <w:sz w:val="24"/>
          <w:szCs w:val="24"/>
        </w:rPr>
        <w:t>as primeras explotaciones mineras</w:t>
      </w:r>
      <w:r>
        <w:rPr>
          <w:rFonts w:ascii="Times New Roman" w:hAnsi="Times New Roman"/>
          <w:sz w:val="24"/>
          <w:szCs w:val="24"/>
        </w:rPr>
        <w:t xml:space="preserve"> metalíferas a cielo abierto comenzaron</w:t>
      </w:r>
      <w:r w:rsidRPr="000878C1">
        <w:rPr>
          <w:rFonts w:ascii="Times New Roman" w:hAnsi="Times New Roman"/>
          <w:sz w:val="24"/>
          <w:szCs w:val="24"/>
        </w:rPr>
        <w:t xml:space="preserve"> en Catamarca con la inauguración de Bajo La Alumbrera en 1997 y e</w:t>
      </w:r>
      <w:r w:rsidR="006D7140">
        <w:rPr>
          <w:rFonts w:ascii="Times New Roman" w:hAnsi="Times New Roman"/>
          <w:sz w:val="24"/>
          <w:szCs w:val="24"/>
        </w:rPr>
        <w:t xml:space="preserve">n Santa Cruz con </w:t>
      </w:r>
      <w:r w:rsidRPr="000878C1">
        <w:rPr>
          <w:rFonts w:ascii="Times New Roman" w:hAnsi="Times New Roman"/>
          <w:sz w:val="24"/>
          <w:szCs w:val="24"/>
        </w:rPr>
        <w:t xml:space="preserve">Cerro Vanguardia al año siguiente. Ambos yacimientos </w:t>
      </w:r>
      <w:r w:rsidR="006D7140">
        <w:rPr>
          <w:rFonts w:ascii="Times New Roman" w:hAnsi="Times New Roman"/>
          <w:sz w:val="24"/>
          <w:szCs w:val="24"/>
        </w:rPr>
        <w:t>se estrenaron</w:t>
      </w:r>
      <w:r w:rsidRPr="000878C1">
        <w:rPr>
          <w:rFonts w:ascii="Times New Roman" w:hAnsi="Times New Roman"/>
          <w:sz w:val="24"/>
          <w:szCs w:val="24"/>
        </w:rPr>
        <w:t xml:space="preserve"> en un contexto armónico y de optimismo por las potencialidades de la actividad. Sin embargo, seis años después los sucesos de Esquel, Chubut, se convertirían en un hecho fundante para las resistencias sociales contra la megaminería </w:t>
      </w:r>
      <w:r>
        <w:rPr>
          <w:rFonts w:ascii="Times New Roman" w:hAnsi="Times New Roman"/>
          <w:sz w:val="24"/>
          <w:szCs w:val="24"/>
        </w:rPr>
        <w:t>(Svampa y Antonelli 2009;</w:t>
      </w:r>
      <w:r w:rsidRPr="000878C1">
        <w:rPr>
          <w:rFonts w:ascii="Times New Roman" w:hAnsi="Times New Roman"/>
          <w:sz w:val="24"/>
          <w:szCs w:val="24"/>
        </w:rPr>
        <w:t>)</w:t>
      </w:r>
      <w:r>
        <w:rPr>
          <w:rFonts w:ascii="Times New Roman" w:hAnsi="Times New Roman"/>
          <w:sz w:val="24"/>
          <w:szCs w:val="24"/>
        </w:rPr>
        <w:t>. En Esquel,</w:t>
      </w:r>
      <w:r w:rsidRPr="000878C1">
        <w:rPr>
          <w:rFonts w:ascii="Times New Roman" w:hAnsi="Times New Roman"/>
          <w:sz w:val="24"/>
          <w:szCs w:val="24"/>
        </w:rPr>
        <w:t xml:space="preserve"> la ciudadanía logró evitar la instalación </w:t>
      </w:r>
      <w:r w:rsidR="006D7140">
        <w:rPr>
          <w:rFonts w:ascii="Times New Roman" w:hAnsi="Times New Roman"/>
          <w:sz w:val="24"/>
          <w:szCs w:val="24"/>
        </w:rPr>
        <w:t xml:space="preserve">de </w:t>
      </w:r>
      <w:r w:rsidRPr="000878C1">
        <w:rPr>
          <w:rFonts w:ascii="Times New Roman" w:hAnsi="Times New Roman"/>
          <w:sz w:val="24"/>
          <w:szCs w:val="24"/>
        </w:rPr>
        <w:t>Meridian Gold a través de un plebiscito municipal. Más aún, el rechazo a la actividad impulsó la sanción de un ley provincial de prohibición de la minería a cielo abierto (ley 5.001) en abril de 2003 y “el efecto Esquel” (Svampa y Antonelli; Marín 2009) favoreció la replicación de resistencias sociales en distintas provincias argentinas.</w:t>
      </w:r>
    </w:p>
    <w:p w:rsidR="006C2873" w:rsidRPr="004E6489" w:rsidRDefault="006C2873" w:rsidP="004E6489">
      <w:pPr>
        <w:widowControl w:val="0"/>
        <w:suppressLineNumbers/>
        <w:spacing w:after="0" w:line="240" w:lineRule="auto"/>
        <w:jc w:val="both"/>
        <w:rPr>
          <w:rFonts w:ascii="Times New Roman" w:hAnsi="Times New Roman"/>
          <w:sz w:val="24"/>
          <w:szCs w:val="24"/>
        </w:rPr>
      </w:pPr>
      <w:r>
        <w:rPr>
          <w:rFonts w:ascii="Times New Roman" w:hAnsi="Times New Roman"/>
          <w:sz w:val="24"/>
          <w:szCs w:val="24"/>
        </w:rPr>
        <w:tab/>
        <w:t>A nivel federal,</w:t>
      </w:r>
      <w:r w:rsidRPr="000878C1">
        <w:rPr>
          <w:rFonts w:ascii="Times New Roman" w:hAnsi="Times New Roman"/>
          <w:sz w:val="24"/>
          <w:szCs w:val="24"/>
        </w:rPr>
        <w:t xml:space="preserve"> el apoyo a la actividad minera </w:t>
      </w:r>
      <w:r>
        <w:rPr>
          <w:rFonts w:ascii="Times New Roman" w:hAnsi="Times New Roman"/>
          <w:sz w:val="24"/>
          <w:szCs w:val="24"/>
        </w:rPr>
        <w:t xml:space="preserve">devino </w:t>
      </w:r>
      <w:r w:rsidRPr="000878C1">
        <w:rPr>
          <w:rFonts w:ascii="Times New Roman" w:hAnsi="Times New Roman"/>
          <w:sz w:val="24"/>
          <w:szCs w:val="24"/>
        </w:rPr>
        <w:t>política de estado. Luego de la gran crisis polític</w:t>
      </w:r>
      <w:r>
        <w:rPr>
          <w:rFonts w:ascii="Times New Roman" w:hAnsi="Times New Roman"/>
          <w:sz w:val="24"/>
          <w:szCs w:val="24"/>
        </w:rPr>
        <w:t>a, económica y social del</w:t>
      </w:r>
      <w:r w:rsidRPr="000878C1">
        <w:rPr>
          <w:rFonts w:ascii="Times New Roman" w:hAnsi="Times New Roman"/>
          <w:sz w:val="24"/>
          <w:szCs w:val="24"/>
        </w:rPr>
        <w:t xml:space="preserve"> 2001, y tras un período de transición, Néstor Kirchner</w:t>
      </w:r>
      <w:r>
        <w:rPr>
          <w:rFonts w:ascii="Times New Roman" w:hAnsi="Times New Roman"/>
          <w:sz w:val="24"/>
          <w:szCs w:val="24"/>
        </w:rPr>
        <w:t xml:space="preserve"> (2003-2007)</w:t>
      </w:r>
      <w:r w:rsidRPr="000878C1">
        <w:rPr>
          <w:rFonts w:ascii="Times New Roman" w:hAnsi="Times New Roman"/>
          <w:sz w:val="24"/>
          <w:szCs w:val="24"/>
        </w:rPr>
        <w:t xml:space="preserve"> accedió al poder con apenas un 22% de apoyo electoral. Rápid</w:t>
      </w:r>
      <w:r>
        <w:rPr>
          <w:rFonts w:ascii="Times New Roman" w:hAnsi="Times New Roman"/>
          <w:sz w:val="24"/>
          <w:szCs w:val="24"/>
        </w:rPr>
        <w:t>amente, el gobierno kirchnerista, generó apoyos en la sociedad a partir de</w:t>
      </w:r>
      <w:r w:rsidRPr="000878C1">
        <w:rPr>
          <w:rFonts w:ascii="Times New Roman" w:hAnsi="Times New Roman"/>
          <w:sz w:val="24"/>
          <w:szCs w:val="24"/>
        </w:rPr>
        <w:t xml:space="preserve"> un dis</w:t>
      </w:r>
      <w:r>
        <w:rPr>
          <w:rFonts w:ascii="Times New Roman" w:hAnsi="Times New Roman"/>
          <w:sz w:val="24"/>
          <w:szCs w:val="24"/>
        </w:rPr>
        <w:t xml:space="preserve">curso progresista y políticas tendientes a una “redistribución económica”. Así </w:t>
      </w:r>
      <w:r w:rsidRPr="000878C1">
        <w:rPr>
          <w:rFonts w:ascii="Times New Roman" w:hAnsi="Times New Roman"/>
          <w:sz w:val="24"/>
          <w:szCs w:val="24"/>
        </w:rPr>
        <w:t xml:space="preserve">logró </w:t>
      </w:r>
      <w:r>
        <w:rPr>
          <w:rFonts w:ascii="Times New Roman" w:hAnsi="Times New Roman"/>
          <w:sz w:val="24"/>
          <w:szCs w:val="24"/>
        </w:rPr>
        <w:t>mostrarse como una alternativa a las políticas</w:t>
      </w:r>
      <w:r w:rsidRPr="000878C1">
        <w:rPr>
          <w:rFonts w:ascii="Times New Roman" w:hAnsi="Times New Roman"/>
          <w:sz w:val="24"/>
          <w:szCs w:val="24"/>
        </w:rPr>
        <w:t xml:space="preserve"> neoliberal</w:t>
      </w:r>
      <w:r>
        <w:rPr>
          <w:rFonts w:ascii="Times New Roman" w:hAnsi="Times New Roman"/>
          <w:sz w:val="24"/>
          <w:szCs w:val="24"/>
        </w:rPr>
        <w:t>es</w:t>
      </w:r>
      <w:r w:rsidRPr="000878C1">
        <w:rPr>
          <w:rFonts w:ascii="Times New Roman" w:hAnsi="Times New Roman"/>
          <w:sz w:val="24"/>
          <w:szCs w:val="24"/>
        </w:rPr>
        <w:t xml:space="preserve"> de los años noventa y consolidarse como parte de los gobiernos progresistas de América </w:t>
      </w:r>
      <w:r>
        <w:rPr>
          <w:rFonts w:ascii="Times New Roman" w:hAnsi="Times New Roman"/>
          <w:sz w:val="24"/>
          <w:szCs w:val="24"/>
        </w:rPr>
        <w:t>Latina (Levistky y Roberts 2012).</w:t>
      </w:r>
      <w:r w:rsidR="00BE12A0">
        <w:rPr>
          <w:rFonts w:ascii="Times New Roman" w:hAnsi="Times New Roman"/>
          <w:sz w:val="24"/>
          <w:szCs w:val="24"/>
        </w:rPr>
        <w:t xml:space="preserve"> </w:t>
      </w:r>
      <w:r w:rsidRPr="000878C1">
        <w:rPr>
          <w:rFonts w:ascii="Times New Roman" w:hAnsi="Times New Roman"/>
          <w:sz w:val="24"/>
          <w:szCs w:val="24"/>
        </w:rPr>
        <w:t>Sin embargo, en materia minera el gobierno de Kirchner y los sucesivos de Cristina Fernández de Kirchner (2007-2015) no solamente no modificaron el marco legal minero heredado sino que profundizaron las tareas de un estado nacional al servicio de los intereses mineros</w:t>
      </w:r>
      <w:r w:rsidR="00BE12A0">
        <w:rPr>
          <w:rFonts w:ascii="Times New Roman" w:hAnsi="Times New Roman"/>
          <w:sz w:val="24"/>
          <w:szCs w:val="24"/>
        </w:rPr>
        <w:t xml:space="preserve"> </w:t>
      </w:r>
      <w:r w:rsidR="006D7140">
        <w:rPr>
          <w:rFonts w:ascii="Times New Roman" w:hAnsi="Times New Roman"/>
          <w:sz w:val="24"/>
          <w:szCs w:val="24"/>
        </w:rPr>
        <w:t xml:space="preserve">y declararon </w:t>
      </w:r>
      <w:r w:rsidRPr="000878C1">
        <w:rPr>
          <w:rFonts w:ascii="Times New Roman" w:hAnsi="Times New Roman"/>
          <w:sz w:val="24"/>
          <w:szCs w:val="24"/>
        </w:rPr>
        <w:t xml:space="preserve">la minería como política de estado en </w:t>
      </w:r>
      <w:r w:rsidRPr="00BE5DE4">
        <w:rPr>
          <w:rFonts w:ascii="Times New Roman" w:hAnsi="Times New Roman"/>
          <w:sz w:val="24"/>
          <w:szCs w:val="24"/>
        </w:rPr>
        <w:t>enero de 2004</w:t>
      </w:r>
      <w:r w:rsidR="00BE12A0">
        <w:rPr>
          <w:rFonts w:ascii="Times New Roman" w:hAnsi="Times New Roman"/>
          <w:sz w:val="24"/>
          <w:szCs w:val="24"/>
        </w:rPr>
        <w:t xml:space="preserve"> </w:t>
      </w:r>
      <w:r w:rsidRPr="00F96878">
        <w:rPr>
          <w:rFonts w:ascii="Times New Roman" w:hAnsi="Times New Roman"/>
          <w:sz w:val="24"/>
          <w:szCs w:val="24"/>
        </w:rPr>
        <w:t xml:space="preserve">(Svampa </w:t>
      </w:r>
      <w:r w:rsidRPr="00F96878">
        <w:rPr>
          <w:rFonts w:ascii="Times New Roman" w:hAnsi="Times New Roman"/>
          <w:i/>
          <w:sz w:val="24"/>
          <w:szCs w:val="24"/>
        </w:rPr>
        <w:t>et al</w:t>
      </w:r>
      <w:r w:rsidRPr="00F96878">
        <w:rPr>
          <w:rFonts w:ascii="Times New Roman" w:hAnsi="Times New Roman"/>
          <w:sz w:val="24"/>
          <w:szCs w:val="24"/>
        </w:rPr>
        <w:t>. 2015).</w:t>
      </w:r>
    </w:p>
    <w:p w:rsidR="006C2873" w:rsidRDefault="006C2873" w:rsidP="00012BA3">
      <w:pPr>
        <w:widowControl w:val="0"/>
        <w:suppressLineNumbers/>
        <w:spacing w:after="0" w:line="240" w:lineRule="auto"/>
        <w:jc w:val="both"/>
        <w:rPr>
          <w:rFonts w:ascii="Times New Roman" w:hAnsi="Times New Roman"/>
          <w:sz w:val="24"/>
          <w:szCs w:val="24"/>
        </w:rPr>
      </w:pPr>
    </w:p>
    <w:p w:rsidR="006C2873" w:rsidRPr="008A2D83" w:rsidRDefault="006C2873" w:rsidP="00012BA3">
      <w:pPr>
        <w:pStyle w:val="Default"/>
        <w:jc w:val="both"/>
        <w:rPr>
          <w:b/>
        </w:rPr>
      </w:pPr>
      <w:r w:rsidRPr="008A2D83">
        <w:rPr>
          <w:b/>
        </w:rPr>
        <w:t xml:space="preserve">Conflictos socioambientalesy soberanías en conflicto </w:t>
      </w:r>
    </w:p>
    <w:p w:rsidR="006C2873" w:rsidRPr="008A2D83" w:rsidRDefault="006C2873" w:rsidP="00012BA3">
      <w:pPr>
        <w:pStyle w:val="Default"/>
        <w:jc w:val="both"/>
      </w:pPr>
    </w:p>
    <w:p w:rsidR="006C2873" w:rsidRPr="008A2D83" w:rsidRDefault="006C2873" w:rsidP="00012BA3">
      <w:pPr>
        <w:pStyle w:val="Default"/>
        <w:jc w:val="both"/>
      </w:pPr>
      <w:r w:rsidRPr="008A2D83">
        <w:t>Partimos de la hipótesis teórica que la ola de conflictos socioambientales en oposición al desarrollo de la minería transnacional en Argentina reconfigura el concepto de soberanía. Desde la emergencia del primer conflicto socioambiental</w:t>
      </w:r>
      <w:r w:rsidR="00BE12A0">
        <w:t xml:space="preserve"> </w:t>
      </w:r>
      <w:r w:rsidRPr="008A2D83">
        <w:t>en Esquel (Marín 2009; Svampa y Antonelli, 2009; Wa</w:t>
      </w:r>
      <w:r>
        <w:t>lter y Alier 2010; Renauld 2014</w:t>
      </w:r>
      <w:r w:rsidRPr="008A2D83">
        <w:t xml:space="preserve">) su expansión al resto de las provincias, hasta la sanción de la Ley de Glaciares, el concepto de soberanía expresa una mutación fundamental por los distintos actores en disputa de dos de sus dimensiones constitutivas: el poder y el territorio. </w:t>
      </w:r>
    </w:p>
    <w:p w:rsidR="006C2873" w:rsidRPr="008A2D83" w:rsidRDefault="006C2873" w:rsidP="00012BA3">
      <w:pPr>
        <w:pStyle w:val="Default"/>
        <w:jc w:val="both"/>
      </w:pPr>
      <w:r>
        <w:tab/>
      </w:r>
      <w:r w:rsidRPr="008A2D83">
        <w:t>Entendemos la noción de soberanía como un proceso de decisión política en un de</w:t>
      </w:r>
      <w:r>
        <w:t>terminado territorio. S</w:t>
      </w:r>
      <w:r w:rsidR="00BE12A0">
        <w:t xml:space="preserve">iguiendo el mandato del </w:t>
      </w:r>
      <w:r w:rsidRPr="008A2D83">
        <w:t xml:space="preserve">art. 124 </w:t>
      </w:r>
      <w:r>
        <w:t>(CN),</w:t>
      </w:r>
      <w:r w:rsidR="00BE12A0">
        <w:t xml:space="preserve"> l</w:t>
      </w:r>
      <w:r w:rsidRPr="008A2D83">
        <w:t>a decisión de avanzar o no en la explotación minera recaería en última instancia en la autoridad máxima a escala subnacional. Sin embargo, el ejercicio real de la soberanía subnacional sobre los recursos mineros de los gobiernos provinciales se encuentra condicionada por la acción de distin</w:t>
      </w:r>
      <w:r>
        <w:t>tos actores y leyes</w:t>
      </w:r>
      <w:r w:rsidRPr="008A2D83">
        <w:t>. En primer lugar, empresas mineras transnacionales, movimientos socioambientales, legislaturas provinciales, poderes federales, etc.</w:t>
      </w:r>
      <w:r w:rsidR="00BE12A0">
        <w:t xml:space="preserve"> </w:t>
      </w:r>
      <w:r w:rsidRPr="008A2D83">
        <w:t>En segundo lugar, por la existencia de normas y leyes ambientales que encuadran el desarroll</w:t>
      </w:r>
      <w:r>
        <w:t xml:space="preserve">o de la actividad extractiva en </w:t>
      </w:r>
      <w:r w:rsidR="00175D6F">
        <w:t>distintas escalas</w:t>
      </w:r>
      <w:r>
        <w:t xml:space="preserve">. </w:t>
      </w:r>
    </w:p>
    <w:p w:rsidR="006C2873" w:rsidRPr="008A2D83" w:rsidRDefault="006C2873" w:rsidP="00012BA3">
      <w:pPr>
        <w:pStyle w:val="Default"/>
        <w:jc w:val="both"/>
      </w:pPr>
      <w:r>
        <w:tab/>
      </w:r>
      <w:r w:rsidRPr="008A2D83">
        <w:t xml:space="preserve">La soberanía subnacional en materia de recursos naturales fue puesta en cuestión en las arenas locales, en las esferas provinciales y, finalmente, a nivel federal. </w:t>
      </w:r>
      <w:r w:rsidR="00BE12A0">
        <w:t>Inicialmente</w:t>
      </w:r>
      <w:r>
        <w:t xml:space="preserve">, </w:t>
      </w:r>
      <w:r w:rsidRPr="00175D6F">
        <w:t>en la escala local por la emergencia de distintos movimientos socioambientales que lograron detener la puesta en marcha de distintos proyectos extractivos, sea mediante plebiscitos municipales como los celebrados en</w:t>
      </w:r>
      <w:r w:rsidR="00BE12A0" w:rsidRPr="00175D6F">
        <w:t xml:space="preserve"> </w:t>
      </w:r>
      <w:r w:rsidRPr="00175D6F">
        <w:t>Esquel en Chubut (2003) y Loncopué en Neuquén (2012)</w:t>
      </w:r>
      <w:r w:rsidR="00BE12A0" w:rsidRPr="00175D6F">
        <w:t xml:space="preserve"> o mediante </w:t>
      </w:r>
      <w:r w:rsidRPr="00175D6F">
        <w:t>acción colectiva directa en Famatina y Chilecito en La Rioja (2007 y 2012) que hizo desistir a distintas empresas de explotar los yacimientos mineros. En segundo lugar, producto de la sanción de leyes a la escala provincial que prohíben la minería metalífera en nueve provincias entre los años 2003 y 2011</w:t>
      </w:r>
      <w:r w:rsidRPr="00175D6F">
        <w:rPr>
          <w:rStyle w:val="Appeldenotedefin"/>
        </w:rPr>
        <w:endnoteReference w:id="3"/>
      </w:r>
      <w:r w:rsidRPr="00175D6F">
        <w:t>. Y en tercer lugar, fue condicionada por la sanción de la Ley de Presupuesto Mínimos de Glaciares a escala federal en 2010.</w:t>
      </w:r>
      <w:r>
        <w:t xml:space="preserve"> </w:t>
      </w:r>
    </w:p>
    <w:p w:rsidR="006C2873" w:rsidRPr="008A2D83" w:rsidRDefault="006C2873" w:rsidP="00012BA3">
      <w:pPr>
        <w:pStyle w:val="Default"/>
        <w:jc w:val="both"/>
      </w:pPr>
      <w:r>
        <w:tab/>
      </w:r>
      <w:r w:rsidRPr="008A2D83">
        <w:t xml:space="preserve">El poder y el territorio constituyen las dimensiones principales de análisis que aparecen en los trabajos que analizan los conflictos socioambientales con respecto al desarrollo de la minería transnacional. Sin embargo, consideramos que es necesario colocar en relación esas dimensiones e introducir en el debate la cuestión de la reconfiguración de la soberanía. A partir de la noción de “soberanías en conflicto” proponemos un enfoque teórico que contribuya a saldar la ausencia de esa </w:t>
      </w:r>
      <w:r>
        <w:t xml:space="preserve">dimensión que se fundamenta en </w:t>
      </w:r>
      <w:r w:rsidRPr="008A2D83">
        <w:t xml:space="preserve">tres campos principales de las ciencias sociales: la sociología de la globalización, la política subnacional y de la  teoría de los movimientos sociales. </w:t>
      </w:r>
    </w:p>
    <w:p w:rsidR="006C2873" w:rsidRPr="008A2D83" w:rsidRDefault="006C2873" w:rsidP="00012BA3">
      <w:pPr>
        <w:pStyle w:val="Default"/>
        <w:jc w:val="both"/>
      </w:pPr>
      <w:r>
        <w:tab/>
      </w:r>
      <w:r w:rsidRPr="008A2D83">
        <w:t xml:space="preserve">A partir del trabajo </w:t>
      </w:r>
      <w:r>
        <w:t>de la noción de</w:t>
      </w:r>
      <w:r w:rsidRPr="008A2D83">
        <w:t xml:space="preserve"> “soberanías en conflicto” </w:t>
      </w:r>
      <w:r w:rsidR="00BE12A0">
        <w:t>subrayamos</w:t>
      </w:r>
      <w:r w:rsidRPr="008A2D83">
        <w:t xml:space="preserve"> tres ideas: </w:t>
      </w:r>
      <w:r w:rsidR="00175D6F">
        <w:t>Primero</w:t>
      </w:r>
      <w:r w:rsidRPr="008A2D83">
        <w:t xml:space="preserve">, la reconfiguración de la soberanía está en el centro de los conflictos socioambientales. </w:t>
      </w:r>
      <w:r w:rsidR="00175D6F">
        <w:t>Segundo</w:t>
      </w:r>
      <w:r w:rsidRPr="008A2D83">
        <w:t>, las soberanías en conflicto incluyen una multiplicidad de actores económicos, políticos y sociales que expresan diferentes concepciones de la relación entre el poder y el territorio que atraviesa la sobera</w:t>
      </w:r>
      <w:r>
        <w:t>nía a diferentes escalas (</w:t>
      </w:r>
      <w:r w:rsidRPr="008A2D83">
        <w:t xml:space="preserve">subnacional, federal y global). Además hay una problematización insuficiente de cómo la relación poder y territorio se articula de diferente forma en cada una de las escalas. </w:t>
      </w:r>
      <w:r w:rsidR="00175D6F">
        <w:t>Tercero</w:t>
      </w:r>
      <w:r w:rsidRPr="008A2D83">
        <w:t>, las soberanías en conflicto pueden adquirir tres dinámicas diferentes: convergentes, agonísticas y antagonistas. Esta tipología nos permite dar cuenta de las diferentes dinámicas que adquieren los confl</w:t>
      </w:r>
      <w:r>
        <w:t xml:space="preserve">ictos socioambientales según </w:t>
      </w:r>
      <w:r w:rsidRPr="00175D6F">
        <w:t>las</w:t>
      </w:r>
      <w:r w:rsidRPr="008A2D83">
        <w:t xml:space="preserve"> dife</w:t>
      </w:r>
      <w:r>
        <w:t>rentes configuraciones del poder a escala subnacional.</w:t>
      </w:r>
    </w:p>
    <w:p w:rsidR="006C2873" w:rsidRDefault="006C2873" w:rsidP="00012BA3">
      <w:pPr>
        <w:pStyle w:val="Default"/>
        <w:jc w:val="both"/>
        <w:rPr>
          <w:rFonts w:eastAsia="Calibri"/>
        </w:rPr>
      </w:pPr>
      <w:r>
        <w:rPr>
          <w:rFonts w:eastAsia="Calibri"/>
        </w:rPr>
        <w:tab/>
      </w:r>
      <w:r w:rsidRPr="008A2D83">
        <w:rPr>
          <w:rFonts w:eastAsia="Calibri"/>
        </w:rPr>
        <w:t xml:space="preserve">La reconfiguración de la soberanía en relación a la minería transnacional no es un proceso que se desarrolla de lo global a lo nacional sin mediaciones políticas y sociales en el seno del territorio del Estado-Nación. </w:t>
      </w:r>
      <w:r>
        <w:rPr>
          <w:rFonts w:eastAsia="Calibri"/>
        </w:rPr>
        <w:t xml:space="preserve">Al contrario, </w:t>
      </w:r>
      <w:r w:rsidRPr="008A2D83">
        <w:rPr>
          <w:rFonts w:eastAsia="Calibri"/>
        </w:rPr>
        <w:t xml:space="preserve">la soberanía estructura la realidad política en términos </w:t>
      </w:r>
      <w:r>
        <w:rPr>
          <w:rFonts w:eastAsia="Calibri"/>
        </w:rPr>
        <w:t xml:space="preserve">de poder y territorio, pero </w:t>
      </w:r>
      <w:r w:rsidRPr="008A2D83">
        <w:rPr>
          <w:rFonts w:eastAsia="Calibri"/>
        </w:rPr>
        <w:t xml:space="preserve">el sentido y sus alcances son puestos en cuestión de diferente forma por los actores en conflicto. </w:t>
      </w:r>
      <w:r>
        <w:rPr>
          <w:rFonts w:eastAsia="Calibri"/>
        </w:rPr>
        <w:t>A partir del análisis de</w:t>
      </w:r>
      <w:r w:rsidRPr="008A2D83">
        <w:rPr>
          <w:rFonts w:eastAsia="Calibri"/>
        </w:rPr>
        <w:t>l caso de la</w:t>
      </w:r>
      <w:r>
        <w:rPr>
          <w:rFonts w:eastAsia="Calibri"/>
        </w:rPr>
        <w:t xml:space="preserve"> sanción de la</w:t>
      </w:r>
      <w:r w:rsidRPr="008A2D83">
        <w:rPr>
          <w:rFonts w:eastAsia="Calibri"/>
        </w:rPr>
        <w:t xml:space="preserve"> Ley de Glaciares</w:t>
      </w:r>
      <w:r>
        <w:rPr>
          <w:rFonts w:eastAsia="Calibri"/>
        </w:rPr>
        <w:t xml:space="preserve"> podemos dar cuenta de forma concreta de las distintas tensiones y reconfiguraciones de la soberanía por los distintos actores en conflicto. </w:t>
      </w:r>
    </w:p>
    <w:p w:rsidR="006C2873" w:rsidRPr="004E6489" w:rsidRDefault="006C2873" w:rsidP="00012BA3">
      <w:pPr>
        <w:pStyle w:val="Default"/>
        <w:jc w:val="both"/>
        <w:rPr>
          <w:rFonts w:eastAsia="Calibri"/>
        </w:rPr>
      </w:pPr>
      <w:r w:rsidRPr="008A2D83">
        <w:rPr>
          <w:rFonts w:eastAsia="Calibri"/>
        </w:rPr>
        <w:tab/>
      </w:r>
    </w:p>
    <w:p w:rsidR="006C2873" w:rsidRPr="00850CAD" w:rsidRDefault="006C2873" w:rsidP="00012BA3">
      <w:pPr>
        <w:suppressAutoHyphens w:val="0"/>
        <w:spacing w:after="0" w:line="240" w:lineRule="auto"/>
        <w:jc w:val="both"/>
        <w:rPr>
          <w:rFonts w:ascii="Times New Roman" w:eastAsia="SimSun" w:hAnsi="Times New Roman"/>
          <w:b/>
          <w:kern w:val="1"/>
          <w:sz w:val="24"/>
          <w:szCs w:val="24"/>
          <w:lang w:val="es-ES" w:eastAsia="hi-IN" w:bidi="hi-IN"/>
        </w:rPr>
      </w:pPr>
      <w:r w:rsidRPr="008A2D83">
        <w:rPr>
          <w:rFonts w:ascii="Times New Roman" w:eastAsia="SimSun" w:hAnsi="Times New Roman"/>
          <w:b/>
          <w:kern w:val="1"/>
          <w:sz w:val="24"/>
          <w:szCs w:val="24"/>
          <w:lang w:val="es-ES" w:eastAsia="hi-IN" w:bidi="hi-IN"/>
        </w:rPr>
        <w:t xml:space="preserve"> Soberanías en conflicto: las dinámica</w:t>
      </w:r>
      <w:r>
        <w:rPr>
          <w:rFonts w:ascii="Times New Roman" w:eastAsia="SimSun" w:hAnsi="Times New Roman"/>
          <w:b/>
          <w:kern w:val="1"/>
          <w:sz w:val="24"/>
          <w:szCs w:val="24"/>
          <w:lang w:val="es-ES" w:eastAsia="hi-IN" w:bidi="hi-IN"/>
        </w:rPr>
        <w:t>s e</w:t>
      </w:r>
      <w:r w:rsidRPr="008A2D83">
        <w:rPr>
          <w:rFonts w:ascii="Times New Roman" w:eastAsia="SimSun" w:hAnsi="Times New Roman"/>
          <w:b/>
          <w:kern w:val="1"/>
          <w:sz w:val="24"/>
          <w:szCs w:val="24"/>
          <w:lang w:val="es-ES" w:eastAsia="hi-IN" w:bidi="hi-IN"/>
        </w:rPr>
        <w:t>ntre el poder y el territorio</w:t>
      </w:r>
    </w:p>
    <w:p w:rsidR="006C2873" w:rsidRDefault="006C2873" w:rsidP="00012BA3">
      <w:pPr>
        <w:suppressAutoHyphens w:val="0"/>
        <w:spacing w:after="0" w:line="240" w:lineRule="auto"/>
        <w:jc w:val="both"/>
        <w:rPr>
          <w:rFonts w:ascii="Times New Roman" w:eastAsia="SimSun" w:hAnsi="Times New Roman"/>
          <w:kern w:val="1"/>
          <w:sz w:val="24"/>
          <w:szCs w:val="24"/>
          <w:lang w:val="es-ES" w:eastAsia="hi-IN" w:bidi="hi-IN"/>
        </w:rPr>
      </w:pPr>
    </w:p>
    <w:p w:rsidR="006C2873" w:rsidRPr="008A2D83" w:rsidRDefault="006C2873" w:rsidP="00012BA3">
      <w:pPr>
        <w:suppressAutoHyphens w:val="0"/>
        <w:spacing w:after="0" w:line="240" w:lineRule="auto"/>
        <w:jc w:val="both"/>
        <w:rPr>
          <w:rFonts w:ascii="Times New Roman" w:hAnsi="Times New Roman"/>
          <w:sz w:val="24"/>
          <w:szCs w:val="24"/>
          <w:lang w:val="es-ES" w:eastAsia="fr-CA"/>
        </w:rPr>
      </w:pPr>
      <w:r w:rsidRPr="008A2D83">
        <w:rPr>
          <w:rFonts w:ascii="Times New Roman" w:eastAsia="SimSun" w:hAnsi="Times New Roman"/>
          <w:kern w:val="1"/>
          <w:sz w:val="24"/>
          <w:szCs w:val="24"/>
          <w:lang w:val="es-ES" w:eastAsia="hi-IN" w:bidi="hi-IN"/>
        </w:rPr>
        <w:t xml:space="preserve">La noción clásica de soberanía sostiene el predominio de un poder absoluto y supremo en un territorio </w:t>
      </w:r>
      <w:r w:rsidRPr="008A2D83">
        <w:rPr>
          <w:rFonts w:ascii="Times New Roman" w:hAnsi="Times New Roman"/>
          <w:sz w:val="24"/>
          <w:szCs w:val="24"/>
          <w:lang w:val="es-ES" w:eastAsia="fr-CA"/>
        </w:rPr>
        <w:t>(</w:t>
      </w:r>
      <w:r w:rsidRPr="008A2D83">
        <w:rPr>
          <w:rFonts w:ascii="Times New Roman" w:eastAsia="SimSun" w:hAnsi="Times New Roman"/>
          <w:kern w:val="1"/>
          <w:sz w:val="24"/>
          <w:szCs w:val="24"/>
          <w:lang w:val="es-ES" w:eastAsia="hi-IN" w:bidi="hi-IN"/>
        </w:rPr>
        <w:t xml:space="preserve">Hobbes, </w:t>
      </w:r>
      <w:r w:rsidRPr="008A2D83">
        <w:rPr>
          <w:rFonts w:ascii="Times New Roman" w:hAnsi="Times New Roman"/>
          <w:noProof/>
          <w:sz w:val="24"/>
          <w:szCs w:val="24"/>
          <w:lang w:val="es-ES" w:eastAsia="fr-FR"/>
        </w:rPr>
        <w:t xml:space="preserve">[1651] </w:t>
      </w:r>
      <w:r w:rsidRPr="008A2D83">
        <w:rPr>
          <w:rFonts w:ascii="Times New Roman" w:eastAsia="SimSun" w:hAnsi="Times New Roman"/>
          <w:kern w:val="1"/>
          <w:sz w:val="24"/>
          <w:szCs w:val="24"/>
          <w:lang w:val="es-ES" w:eastAsia="hi-IN" w:bidi="hi-IN"/>
        </w:rPr>
        <w:t xml:space="preserve">(1996). Al contrario, a partir del concepto de soberanías en conflicto adoptamos una mirada plural y no jerárquica de la soberanía </w:t>
      </w:r>
      <w:r w:rsidRPr="008A2D83">
        <w:rPr>
          <w:rFonts w:ascii="Times New Roman" w:hAnsi="Times New Roman"/>
          <w:sz w:val="24"/>
          <w:szCs w:val="24"/>
          <w:lang w:val="es-ES" w:eastAsia="fr-CA"/>
        </w:rPr>
        <w:t xml:space="preserve">(Bellamy, 2000). En </w:t>
      </w:r>
      <w:r w:rsidR="00BE12A0">
        <w:rPr>
          <w:rFonts w:ascii="Times New Roman" w:hAnsi="Times New Roman"/>
          <w:sz w:val="24"/>
          <w:szCs w:val="24"/>
          <w:lang w:val="es-ES" w:eastAsia="fr-CA"/>
        </w:rPr>
        <w:t>Argentina</w:t>
      </w:r>
      <w:r w:rsidRPr="008A2D83">
        <w:rPr>
          <w:rFonts w:ascii="Times New Roman" w:hAnsi="Times New Roman"/>
          <w:sz w:val="24"/>
          <w:szCs w:val="24"/>
          <w:lang w:val="es-ES" w:eastAsia="fr-CA"/>
        </w:rPr>
        <w:t xml:space="preserve"> la soberanía sobre los recursos naturales constituye un proceso de conflicto</w:t>
      </w:r>
      <w:r w:rsidR="00BE12A0">
        <w:rPr>
          <w:rFonts w:ascii="Times New Roman" w:hAnsi="Times New Roman"/>
          <w:sz w:val="24"/>
          <w:szCs w:val="24"/>
          <w:lang w:val="es-ES" w:eastAsia="fr-CA"/>
        </w:rPr>
        <w:t xml:space="preserve"> </w:t>
      </w:r>
      <w:r w:rsidRPr="008A2D83">
        <w:rPr>
          <w:rFonts w:ascii="Times New Roman" w:hAnsi="Times New Roman"/>
          <w:sz w:val="24"/>
          <w:szCs w:val="24"/>
          <w:lang w:val="es-ES" w:eastAsia="fr-CA"/>
        </w:rPr>
        <w:t>acerca de quién es el actor legítimo y cuál es el territorio de disputa. El conflicto socioambiental se sitúa en un territorio específico en la escala subnacional. Sin embargo, las reglas del juego no se limitan en esa escala, sino también en el nivel federal e internacional debido a distintas leyes existentes</w:t>
      </w:r>
      <w:r w:rsidRPr="008A2D83">
        <w:rPr>
          <w:rStyle w:val="Appeldenotedefin"/>
          <w:rFonts w:ascii="Times New Roman" w:hAnsi="Times New Roman"/>
          <w:sz w:val="24"/>
          <w:szCs w:val="24"/>
          <w:lang w:val="es-ES" w:eastAsia="fr-CA"/>
        </w:rPr>
        <w:endnoteReference w:id="4"/>
      </w:r>
      <w:r w:rsidR="00BE12A0">
        <w:rPr>
          <w:rFonts w:ascii="Times New Roman" w:hAnsi="Times New Roman"/>
          <w:sz w:val="24"/>
          <w:szCs w:val="24"/>
          <w:lang w:val="es-ES" w:eastAsia="fr-CA"/>
        </w:rPr>
        <w:t xml:space="preserve">. </w:t>
      </w:r>
      <w:r>
        <w:rPr>
          <w:rFonts w:ascii="Times New Roman" w:hAnsi="Times New Roman"/>
          <w:sz w:val="24"/>
          <w:szCs w:val="24"/>
          <w:lang w:val="es-ES" w:eastAsia="fr-CA"/>
        </w:rPr>
        <w:t>Los actores</w:t>
      </w:r>
      <w:r w:rsidR="00BE12A0">
        <w:rPr>
          <w:rFonts w:ascii="Times New Roman" w:hAnsi="Times New Roman"/>
          <w:sz w:val="24"/>
          <w:szCs w:val="24"/>
          <w:lang w:val="es-ES" w:eastAsia="fr-CA"/>
        </w:rPr>
        <w:t xml:space="preserve"> </w:t>
      </w:r>
      <w:r w:rsidRPr="008A2D83">
        <w:rPr>
          <w:rFonts w:ascii="Times New Roman" w:hAnsi="Times New Roman"/>
          <w:sz w:val="24"/>
          <w:szCs w:val="24"/>
          <w:lang w:val="es-ES" w:eastAsia="fr-CA"/>
        </w:rPr>
        <w:t>establecen alianzas en diferentes escalas con el objetivo de legitimar sus posiciones y condicionar el ejercicio de la soberanía a escala subn</w:t>
      </w:r>
      <w:r>
        <w:rPr>
          <w:rFonts w:ascii="Times New Roman" w:hAnsi="Times New Roman"/>
          <w:sz w:val="24"/>
          <w:szCs w:val="24"/>
          <w:lang w:val="es-ES" w:eastAsia="fr-CA"/>
        </w:rPr>
        <w:t>a</w:t>
      </w:r>
      <w:r w:rsidRPr="008A2D83">
        <w:rPr>
          <w:rFonts w:ascii="Times New Roman" w:hAnsi="Times New Roman"/>
          <w:sz w:val="24"/>
          <w:szCs w:val="24"/>
          <w:lang w:val="es-ES" w:eastAsia="fr-CA"/>
        </w:rPr>
        <w:t>cional. Nuestra concepción de la soberanía evita caer en una lectura esencialista como sí ella estuviera definida de forma inmutable. A partir de la sociología de la globalización entendemos q</w:t>
      </w:r>
      <w:r>
        <w:rPr>
          <w:rFonts w:ascii="Times New Roman" w:hAnsi="Times New Roman"/>
          <w:sz w:val="24"/>
          <w:szCs w:val="24"/>
          <w:lang w:val="es-ES" w:eastAsia="fr-CA"/>
        </w:rPr>
        <w:t>ue la soberanía está atravesada</w:t>
      </w:r>
      <w:r w:rsidRPr="008A2D83">
        <w:rPr>
          <w:rFonts w:ascii="Times New Roman" w:hAnsi="Times New Roman"/>
          <w:sz w:val="24"/>
          <w:szCs w:val="24"/>
          <w:lang w:val="es-ES" w:eastAsia="fr-CA"/>
        </w:rPr>
        <w:t xml:space="preserve"> por una dinámica de conflicto donde se ponen en cuestión las nociones de poder y territorio (Sassen, 2009</w:t>
      </w:r>
      <w:r w:rsidRPr="00F96878">
        <w:rPr>
          <w:rFonts w:ascii="Times New Roman" w:hAnsi="Times New Roman"/>
          <w:sz w:val="24"/>
          <w:szCs w:val="24"/>
          <w:lang w:val="es-ES" w:eastAsia="fr-CA"/>
        </w:rPr>
        <w:t>; Sassen 2014,</w:t>
      </w:r>
      <w:r>
        <w:rPr>
          <w:rFonts w:ascii="Times New Roman" w:hAnsi="Times New Roman"/>
          <w:sz w:val="24"/>
          <w:szCs w:val="24"/>
          <w:lang w:val="es-ES" w:eastAsia="fr-CA"/>
        </w:rPr>
        <w:t xml:space="preserve"> </w:t>
      </w:r>
      <w:r w:rsidRPr="00BE5DE4">
        <w:rPr>
          <w:rFonts w:ascii="Times New Roman" w:hAnsi="Times New Roman"/>
          <w:sz w:val="24"/>
          <w:szCs w:val="24"/>
          <w:lang w:val="es-ES" w:eastAsia="fr-CA"/>
        </w:rPr>
        <w:t>Hard</w:t>
      </w:r>
      <w:r>
        <w:rPr>
          <w:rFonts w:ascii="Times New Roman" w:hAnsi="Times New Roman"/>
          <w:sz w:val="24"/>
          <w:szCs w:val="24"/>
          <w:lang w:val="es-ES" w:eastAsia="fr-CA"/>
        </w:rPr>
        <w:t xml:space="preserve">t y </w:t>
      </w:r>
      <w:r w:rsidRPr="00BE5DE4">
        <w:rPr>
          <w:rFonts w:ascii="Times New Roman" w:hAnsi="Times New Roman"/>
          <w:sz w:val="24"/>
          <w:szCs w:val="24"/>
          <w:lang w:val="es-ES" w:eastAsia="fr-CA"/>
        </w:rPr>
        <w:t>Negri,</w:t>
      </w:r>
      <w:r w:rsidRPr="008A2D83">
        <w:rPr>
          <w:rFonts w:ascii="Times New Roman" w:hAnsi="Times New Roman"/>
          <w:sz w:val="24"/>
          <w:szCs w:val="24"/>
          <w:lang w:val="es-ES" w:eastAsia="fr-CA"/>
        </w:rPr>
        <w:t xml:space="preserve"> 2000). </w:t>
      </w:r>
    </w:p>
    <w:p w:rsidR="006C2873" w:rsidRPr="008A2D83" w:rsidRDefault="006C2873" w:rsidP="00012BA3">
      <w:pPr>
        <w:suppressAutoHyphens w:val="0"/>
        <w:spacing w:after="0" w:line="240" w:lineRule="auto"/>
        <w:jc w:val="both"/>
        <w:rPr>
          <w:rFonts w:ascii="Times New Roman" w:eastAsia="SimSun" w:hAnsi="Times New Roman"/>
          <w:kern w:val="1"/>
          <w:sz w:val="24"/>
          <w:szCs w:val="24"/>
          <w:lang w:val="es-ES" w:eastAsia="hi-IN" w:bidi="hi-IN"/>
        </w:rPr>
      </w:pPr>
      <w:r>
        <w:rPr>
          <w:rFonts w:ascii="Times New Roman" w:eastAsia="SimSun" w:hAnsi="Times New Roman"/>
          <w:kern w:val="1"/>
          <w:sz w:val="24"/>
          <w:szCs w:val="24"/>
          <w:lang w:val="es-ES" w:eastAsia="hi-IN" w:bidi="hi-IN"/>
        </w:rPr>
        <w:tab/>
      </w:r>
      <w:r w:rsidRPr="008A2D83">
        <w:rPr>
          <w:rFonts w:ascii="Times New Roman" w:eastAsia="SimSun" w:hAnsi="Times New Roman"/>
          <w:kern w:val="1"/>
          <w:sz w:val="24"/>
          <w:szCs w:val="24"/>
          <w:lang w:val="es-ES" w:eastAsia="hi-IN" w:bidi="hi-IN"/>
        </w:rPr>
        <w:t>Poder y territorio constituyen las dos dimensiones constitutivas a tomar en cuenta para analizar los conflictos socioambientales. Si bien estas dos dimensiones mayormente</w:t>
      </w:r>
      <w:r w:rsidR="00BE12A0">
        <w:rPr>
          <w:rFonts w:ascii="Times New Roman" w:eastAsia="SimSun" w:hAnsi="Times New Roman"/>
          <w:kern w:val="1"/>
          <w:sz w:val="24"/>
          <w:szCs w:val="24"/>
          <w:lang w:val="es-ES" w:eastAsia="hi-IN" w:bidi="hi-IN"/>
        </w:rPr>
        <w:t xml:space="preserve"> son</w:t>
      </w:r>
      <w:r w:rsidRPr="008A2D83">
        <w:rPr>
          <w:rFonts w:ascii="Times New Roman" w:eastAsia="SimSun" w:hAnsi="Times New Roman"/>
          <w:kern w:val="1"/>
          <w:sz w:val="24"/>
          <w:szCs w:val="24"/>
          <w:lang w:val="es-ES" w:eastAsia="hi-IN" w:bidi="hi-IN"/>
        </w:rPr>
        <w:t xml:space="preserve"> analizadas en forma separada nuestra posición asume que es necesario problematizar esa relación dado que los conflictos socioambientales reconfiguran de diferente fo</w:t>
      </w:r>
      <w:r>
        <w:rPr>
          <w:rFonts w:ascii="Times New Roman" w:eastAsia="SimSun" w:hAnsi="Times New Roman"/>
          <w:kern w:val="1"/>
          <w:sz w:val="24"/>
          <w:szCs w:val="24"/>
          <w:lang w:val="es-ES" w:eastAsia="hi-IN" w:bidi="hi-IN"/>
        </w:rPr>
        <w:t>rma el poder</w:t>
      </w:r>
      <w:r w:rsidRPr="008A2D83">
        <w:rPr>
          <w:rFonts w:ascii="Times New Roman" w:eastAsia="SimSun" w:hAnsi="Times New Roman"/>
          <w:kern w:val="1"/>
          <w:sz w:val="24"/>
          <w:szCs w:val="24"/>
          <w:lang w:val="es-ES" w:eastAsia="hi-IN" w:bidi="hi-IN"/>
        </w:rPr>
        <w:t xml:space="preserve"> y el territorio. A partir del concepto de “soberanías en conflicto” </w:t>
      </w:r>
      <w:r>
        <w:rPr>
          <w:rFonts w:ascii="Times New Roman" w:eastAsia="SimSun" w:hAnsi="Times New Roman"/>
          <w:kern w:val="1"/>
          <w:sz w:val="24"/>
          <w:szCs w:val="24"/>
          <w:lang w:val="es-ES" w:eastAsia="hi-IN" w:bidi="hi-IN"/>
        </w:rPr>
        <w:t>se capturan</w:t>
      </w:r>
      <w:r w:rsidRPr="008A2D83">
        <w:rPr>
          <w:rFonts w:ascii="Times New Roman" w:eastAsia="SimSun" w:hAnsi="Times New Roman"/>
          <w:kern w:val="1"/>
          <w:sz w:val="24"/>
          <w:szCs w:val="24"/>
          <w:lang w:val="es-ES" w:eastAsia="hi-IN" w:bidi="hi-IN"/>
        </w:rPr>
        <w:t xml:space="preserve"> tres formas específicas de la crisis de la soberanía. En primer lugar, en términos geográficos, porque asistimos a un proceso creciente de desnacionalización del territorio en el marco de la globalización (Sassen, 2009</w:t>
      </w:r>
      <w:r>
        <w:rPr>
          <w:rFonts w:ascii="Times New Roman" w:eastAsia="SimSun" w:hAnsi="Times New Roman"/>
          <w:kern w:val="1"/>
          <w:sz w:val="24"/>
          <w:szCs w:val="24"/>
          <w:lang w:val="es-ES" w:eastAsia="hi-IN" w:bidi="hi-IN"/>
        </w:rPr>
        <w:t>, 2014</w:t>
      </w:r>
      <w:r w:rsidRPr="008A2D83">
        <w:rPr>
          <w:rFonts w:ascii="Times New Roman" w:eastAsia="SimSun" w:hAnsi="Times New Roman"/>
          <w:kern w:val="1"/>
          <w:sz w:val="24"/>
          <w:szCs w:val="24"/>
          <w:lang w:val="es-ES" w:eastAsia="hi-IN" w:bidi="hi-IN"/>
        </w:rPr>
        <w:t xml:space="preserve">). En segundo lugar, en términos políticos, porque este tipo de conflictos se inscribe en la crisis de la representación de la democracia. Y por último, en términos económicos, por la crisis que se produce entre lo privado y lo público (Negri, 2008). </w:t>
      </w:r>
    </w:p>
    <w:p w:rsidR="006C2873" w:rsidRDefault="006C2873" w:rsidP="00012BA3">
      <w:pPr>
        <w:suppressAutoHyphens w:val="0"/>
        <w:spacing w:after="0" w:line="240" w:lineRule="auto"/>
        <w:jc w:val="both"/>
        <w:rPr>
          <w:rFonts w:ascii="Times New Roman" w:eastAsia="SimSun" w:hAnsi="Times New Roman"/>
          <w:kern w:val="1"/>
          <w:sz w:val="24"/>
          <w:szCs w:val="24"/>
          <w:lang w:val="es-ES" w:eastAsia="hi-IN" w:bidi="hi-IN"/>
        </w:rPr>
      </w:pPr>
      <w:r>
        <w:rPr>
          <w:rFonts w:ascii="Times New Roman" w:eastAsia="SimSun" w:hAnsi="Times New Roman"/>
          <w:kern w:val="1"/>
          <w:sz w:val="24"/>
          <w:szCs w:val="24"/>
          <w:lang w:val="es-ES" w:eastAsia="hi-IN" w:bidi="hi-IN"/>
        </w:rPr>
        <w:tab/>
        <w:t xml:space="preserve">En términos específicos </w:t>
      </w:r>
      <w:r w:rsidRPr="008A2D83">
        <w:rPr>
          <w:rFonts w:ascii="Times New Roman" w:eastAsia="SimSun" w:hAnsi="Times New Roman"/>
          <w:kern w:val="1"/>
          <w:sz w:val="24"/>
          <w:szCs w:val="24"/>
          <w:lang w:val="es-ES" w:eastAsia="hi-IN" w:bidi="hi-IN"/>
        </w:rPr>
        <w:t xml:space="preserve">los conflictos socioambientales, el desacoplamiento entre el territorio y lo nacional se manifiesta, tanto por la existencia de leyes internacionales con estatuto constitucional, como por la acción de transnacionalización de las empresas extractivas y los movimientos socioambientales. La crisis de representación se evidencia por </w:t>
      </w:r>
      <w:r w:rsidR="00BE12A0">
        <w:rPr>
          <w:rFonts w:ascii="Times New Roman" w:eastAsia="SimSun" w:hAnsi="Times New Roman"/>
          <w:kern w:val="1"/>
          <w:sz w:val="24"/>
          <w:szCs w:val="24"/>
          <w:lang w:val="es-ES" w:eastAsia="hi-IN" w:bidi="hi-IN"/>
        </w:rPr>
        <w:t>el cuestionamiento</w:t>
      </w:r>
      <w:r w:rsidRPr="008A2D83">
        <w:rPr>
          <w:rFonts w:ascii="Times New Roman" w:eastAsia="SimSun" w:hAnsi="Times New Roman"/>
          <w:kern w:val="1"/>
          <w:sz w:val="24"/>
          <w:szCs w:val="24"/>
          <w:lang w:val="es-ES" w:eastAsia="hi-IN" w:bidi="hi-IN"/>
        </w:rPr>
        <w:t xml:space="preserve"> de los movimientos socioambientales </w:t>
      </w:r>
      <w:r w:rsidR="00BE12A0">
        <w:rPr>
          <w:rFonts w:ascii="Times New Roman" w:eastAsia="SimSun" w:hAnsi="Times New Roman"/>
          <w:kern w:val="1"/>
          <w:sz w:val="24"/>
          <w:szCs w:val="24"/>
          <w:lang w:val="es-ES" w:eastAsia="hi-IN" w:bidi="hi-IN"/>
        </w:rPr>
        <w:t>sobre</w:t>
      </w:r>
      <w:r w:rsidRPr="008A2D83">
        <w:rPr>
          <w:rFonts w:ascii="Times New Roman" w:eastAsia="SimSun" w:hAnsi="Times New Roman"/>
          <w:kern w:val="1"/>
          <w:sz w:val="24"/>
          <w:szCs w:val="24"/>
          <w:lang w:val="es-ES" w:eastAsia="hi-IN" w:bidi="hi-IN"/>
        </w:rPr>
        <w:t xml:space="preserve"> la soberanía subnacional y el rechazo de los mecanismos de la democracia representativa. </w:t>
      </w:r>
      <w:r>
        <w:rPr>
          <w:rFonts w:ascii="Times New Roman" w:eastAsia="SimSun" w:hAnsi="Times New Roman"/>
          <w:kern w:val="1"/>
          <w:sz w:val="24"/>
          <w:szCs w:val="24"/>
          <w:lang w:val="es-ES" w:eastAsia="hi-IN" w:bidi="hi-IN"/>
        </w:rPr>
        <w:t>Por último, l</w:t>
      </w:r>
      <w:r w:rsidRPr="008A2D83">
        <w:rPr>
          <w:rFonts w:ascii="Times New Roman" w:eastAsia="SimSun" w:hAnsi="Times New Roman"/>
          <w:kern w:val="1"/>
          <w:sz w:val="24"/>
          <w:szCs w:val="24"/>
          <w:lang w:val="es-ES" w:eastAsia="hi-IN" w:bidi="hi-IN"/>
        </w:rPr>
        <w:t xml:space="preserve">a puesta en práctica de mecanismos de gobernanza para regular los conflictos extractivos </w:t>
      </w:r>
      <w:r w:rsidR="00BE12A0">
        <w:rPr>
          <w:rFonts w:ascii="Times New Roman" w:eastAsia="SimSun" w:hAnsi="Times New Roman"/>
          <w:kern w:val="1"/>
          <w:sz w:val="24"/>
          <w:szCs w:val="24"/>
          <w:lang w:val="es-ES" w:eastAsia="hi-IN" w:bidi="hi-IN"/>
        </w:rPr>
        <w:t>redefine</w:t>
      </w:r>
      <w:r w:rsidRPr="008A2D83">
        <w:rPr>
          <w:rFonts w:ascii="Times New Roman" w:eastAsia="SimSun" w:hAnsi="Times New Roman"/>
          <w:kern w:val="1"/>
          <w:sz w:val="24"/>
          <w:szCs w:val="24"/>
          <w:lang w:val="es-ES" w:eastAsia="hi-IN" w:bidi="hi-IN"/>
        </w:rPr>
        <w:t xml:space="preserve"> la frontera entre lo público y lo privado.</w:t>
      </w:r>
      <w:r>
        <w:rPr>
          <w:rFonts w:ascii="Times New Roman" w:eastAsia="SimSun" w:hAnsi="Times New Roman"/>
          <w:kern w:val="1"/>
          <w:sz w:val="24"/>
          <w:szCs w:val="24"/>
          <w:lang w:val="es-ES" w:eastAsia="hi-IN" w:bidi="hi-IN"/>
        </w:rPr>
        <w:t xml:space="preserve"> Por ejemplo, en </w:t>
      </w:r>
      <w:r w:rsidRPr="008A2D83">
        <w:rPr>
          <w:rFonts w:ascii="Times New Roman" w:eastAsia="SimSun" w:hAnsi="Times New Roman"/>
          <w:kern w:val="1"/>
          <w:sz w:val="24"/>
          <w:szCs w:val="24"/>
          <w:lang w:val="es-ES" w:eastAsia="hi-IN" w:bidi="hi-IN"/>
        </w:rPr>
        <w:t>Chubut, donde emergió la Asamblea de Vecinos Autoconvocados de Esquel (AVAE), a parti</w:t>
      </w:r>
      <w:r>
        <w:rPr>
          <w:rFonts w:ascii="Times New Roman" w:eastAsia="SimSun" w:hAnsi="Times New Roman"/>
          <w:kern w:val="1"/>
          <w:sz w:val="24"/>
          <w:szCs w:val="24"/>
          <w:lang w:val="es-ES" w:eastAsia="hi-IN" w:bidi="hi-IN"/>
        </w:rPr>
        <w:t>r de la práctica plebiscitaria se cuestionó</w:t>
      </w:r>
      <w:r w:rsidRPr="008A2D83">
        <w:rPr>
          <w:rFonts w:ascii="Times New Roman" w:eastAsia="SimSun" w:hAnsi="Times New Roman"/>
          <w:kern w:val="1"/>
          <w:sz w:val="24"/>
          <w:szCs w:val="24"/>
          <w:lang w:val="es-ES" w:eastAsia="hi-IN" w:bidi="hi-IN"/>
        </w:rPr>
        <w:t xml:space="preserve"> la soberanía de la provincia de Chubut sobre los recursos mineros</w:t>
      </w:r>
      <w:r>
        <w:rPr>
          <w:rFonts w:ascii="Times New Roman" w:eastAsia="SimSun" w:hAnsi="Times New Roman"/>
          <w:kern w:val="1"/>
          <w:sz w:val="24"/>
          <w:szCs w:val="24"/>
          <w:lang w:val="es-ES" w:eastAsia="hi-IN" w:bidi="hi-IN"/>
        </w:rPr>
        <w:t>.</w:t>
      </w:r>
    </w:p>
    <w:p w:rsidR="006C2873" w:rsidRPr="008A2D83" w:rsidRDefault="006C2873" w:rsidP="00012BA3">
      <w:pPr>
        <w:suppressAutoHyphens w:val="0"/>
        <w:spacing w:after="0" w:line="240" w:lineRule="auto"/>
        <w:jc w:val="both"/>
        <w:rPr>
          <w:rFonts w:ascii="Times New Roman" w:eastAsia="SimSun" w:hAnsi="Times New Roman"/>
          <w:kern w:val="1"/>
          <w:sz w:val="24"/>
          <w:szCs w:val="24"/>
          <w:lang w:val="es-ES" w:eastAsia="hi-IN" w:bidi="hi-IN"/>
        </w:rPr>
      </w:pPr>
      <w:r>
        <w:rPr>
          <w:rFonts w:ascii="Times New Roman" w:eastAsia="SimSun" w:hAnsi="Times New Roman"/>
          <w:kern w:val="1"/>
          <w:sz w:val="24"/>
          <w:szCs w:val="24"/>
          <w:lang w:val="es-ES" w:eastAsia="hi-IN" w:bidi="hi-IN"/>
        </w:rPr>
        <w:tab/>
      </w:r>
      <w:r w:rsidRPr="008A2D83">
        <w:rPr>
          <w:rFonts w:ascii="Times New Roman" w:eastAsia="SimSun" w:hAnsi="Times New Roman"/>
          <w:kern w:val="1"/>
          <w:sz w:val="24"/>
          <w:szCs w:val="24"/>
          <w:lang w:val="es-ES" w:eastAsia="hi-IN" w:bidi="hi-IN"/>
        </w:rPr>
        <w:t xml:space="preserve">Por otra parte, una vez sancionada la ley 5.001, se produjo una reconfiguración de la soberanía provincial entre territorios aptos y no aptos para la explotación minera. Adicionalmente, </w:t>
      </w:r>
      <w:r>
        <w:rPr>
          <w:rFonts w:ascii="Times New Roman" w:eastAsia="SimSun" w:hAnsi="Times New Roman"/>
          <w:kern w:val="1"/>
          <w:sz w:val="24"/>
          <w:szCs w:val="24"/>
          <w:lang w:val="es-ES" w:eastAsia="hi-IN" w:bidi="hi-IN"/>
        </w:rPr>
        <w:t xml:space="preserve">se </w:t>
      </w:r>
      <w:r w:rsidRPr="008A2D83">
        <w:rPr>
          <w:rFonts w:ascii="Times New Roman" w:eastAsia="SimSun" w:hAnsi="Times New Roman"/>
          <w:kern w:val="1"/>
          <w:sz w:val="24"/>
          <w:szCs w:val="24"/>
          <w:lang w:val="es-ES" w:eastAsia="hi-IN" w:bidi="hi-IN"/>
        </w:rPr>
        <w:t xml:space="preserve">puso en discusión la idea productivista de la soberanía, derivada de la explotación de los recursos mineros, que traería el progreso económico y social para los habitantes de la Nación. La AVAE, en cambio concibe los recursos naturales como bienes comunes pertenecientes a la comunidad, y no como bienes </w:t>
      </w:r>
      <w:r w:rsidR="00BE12A0">
        <w:rPr>
          <w:rFonts w:ascii="Times New Roman" w:eastAsia="SimSun" w:hAnsi="Times New Roman"/>
          <w:kern w:val="1"/>
          <w:sz w:val="24"/>
          <w:szCs w:val="24"/>
          <w:lang w:val="es-ES" w:eastAsia="hi-IN" w:bidi="hi-IN"/>
        </w:rPr>
        <w:t xml:space="preserve">bajo competencia </w:t>
      </w:r>
      <w:r w:rsidRPr="008A2D83">
        <w:rPr>
          <w:rFonts w:ascii="Times New Roman" w:eastAsia="SimSun" w:hAnsi="Times New Roman"/>
          <w:kern w:val="1"/>
          <w:sz w:val="24"/>
          <w:szCs w:val="24"/>
          <w:lang w:val="es-ES" w:eastAsia="hi-IN" w:bidi="hi-IN"/>
        </w:rPr>
        <w:t>del Estado o bienes privados</w:t>
      </w:r>
      <w:r w:rsidR="00BE12A0">
        <w:rPr>
          <w:rFonts w:ascii="Times New Roman" w:eastAsia="SimSun" w:hAnsi="Times New Roman"/>
          <w:kern w:val="1"/>
          <w:sz w:val="24"/>
          <w:szCs w:val="24"/>
          <w:lang w:val="es-ES" w:eastAsia="hi-IN" w:bidi="hi-IN"/>
        </w:rPr>
        <w:t>.</w:t>
      </w:r>
    </w:p>
    <w:p w:rsidR="006C2873" w:rsidRPr="008A2D83" w:rsidRDefault="006C2873" w:rsidP="00012BA3">
      <w:pPr>
        <w:suppressAutoHyphens w:val="0"/>
        <w:spacing w:after="0" w:line="240" w:lineRule="auto"/>
        <w:jc w:val="both"/>
        <w:rPr>
          <w:rFonts w:ascii="Times New Roman" w:hAnsi="Times New Roman"/>
          <w:sz w:val="24"/>
          <w:szCs w:val="24"/>
          <w:lang w:val="es-ES" w:eastAsia="fr-CA"/>
        </w:rPr>
      </w:pPr>
      <w:r>
        <w:rPr>
          <w:rFonts w:ascii="Times New Roman" w:hAnsi="Times New Roman"/>
          <w:sz w:val="24"/>
          <w:szCs w:val="24"/>
          <w:lang w:val="es-ES" w:eastAsia="fr-CA"/>
        </w:rPr>
        <w:tab/>
      </w:r>
      <w:r w:rsidRPr="008A2D83">
        <w:rPr>
          <w:rFonts w:ascii="Times New Roman" w:hAnsi="Times New Roman"/>
          <w:sz w:val="24"/>
          <w:szCs w:val="24"/>
          <w:lang w:val="es-ES" w:eastAsia="fr-CA"/>
        </w:rPr>
        <w:t>En segundo lugar, y tal como se anticipara, las soberanías en conflicto incorporan una multiplicidad de actores económicos, políticos y sociales que expresan diferentes concepciones de la relación entre el poder y el territorio que atraviesa la soberanía a diferentes escalas (local, subnacional, federal y global).</w:t>
      </w:r>
      <w:r w:rsidR="0077392B">
        <w:rPr>
          <w:rFonts w:ascii="Times New Roman" w:hAnsi="Times New Roman"/>
          <w:sz w:val="24"/>
          <w:szCs w:val="24"/>
          <w:lang w:val="es-ES" w:eastAsia="fr-CA"/>
        </w:rPr>
        <w:t xml:space="preserve"> Este concepto</w:t>
      </w:r>
      <w:r w:rsidRPr="008A2D83">
        <w:rPr>
          <w:rFonts w:ascii="Times New Roman" w:hAnsi="Times New Roman"/>
          <w:sz w:val="24"/>
          <w:szCs w:val="24"/>
          <w:lang w:val="es-ES" w:eastAsia="fr-CA"/>
        </w:rPr>
        <w:t xml:space="preserve"> discute y se apoya en diferentes perspectivas de la ecología política que analizan los conflictos socioambientales en América Latina. </w:t>
      </w:r>
    </w:p>
    <w:p w:rsidR="006C2873" w:rsidRPr="008A2D83" w:rsidRDefault="006C2873" w:rsidP="00012BA3">
      <w:pPr>
        <w:suppressAutoHyphens w:val="0"/>
        <w:spacing w:after="0" w:line="240" w:lineRule="auto"/>
        <w:jc w:val="both"/>
        <w:rPr>
          <w:rFonts w:ascii="Times New Roman" w:eastAsia="SimSun" w:hAnsi="Times New Roman"/>
          <w:kern w:val="1"/>
          <w:sz w:val="24"/>
          <w:szCs w:val="24"/>
          <w:lang w:val="es-ES" w:eastAsia="hi-IN" w:bidi="hi-IN"/>
        </w:rPr>
      </w:pPr>
      <w:r>
        <w:rPr>
          <w:rFonts w:ascii="Times New Roman" w:hAnsi="Times New Roman"/>
          <w:sz w:val="24"/>
          <w:szCs w:val="24"/>
          <w:lang w:val="es-ES" w:eastAsia="fr-CA"/>
        </w:rPr>
        <w:tab/>
      </w:r>
      <w:r w:rsidRPr="008A2D83">
        <w:rPr>
          <w:rFonts w:ascii="Times New Roman" w:hAnsi="Times New Roman"/>
          <w:sz w:val="24"/>
          <w:szCs w:val="24"/>
          <w:lang w:val="es-ES" w:eastAsia="fr-CA"/>
        </w:rPr>
        <w:t xml:space="preserve">Una primera corriente identifica los conflictos socioambientales como conflictos de distribución </w:t>
      </w:r>
      <w:r w:rsidR="0077392B">
        <w:rPr>
          <w:rFonts w:ascii="Times New Roman" w:eastAsia="Calibri" w:hAnsi="Times New Roman"/>
          <w:sz w:val="24"/>
          <w:szCs w:val="24"/>
          <w:lang w:val="es-ES" w:eastAsia="en-US"/>
        </w:rPr>
        <w:t>(Martínez-Alier,</w:t>
      </w:r>
      <w:r w:rsidR="0090719B">
        <w:rPr>
          <w:rFonts w:ascii="Times New Roman" w:eastAsia="Calibri" w:hAnsi="Times New Roman"/>
          <w:sz w:val="24"/>
          <w:szCs w:val="24"/>
          <w:lang w:val="es-ES" w:eastAsia="en-US"/>
        </w:rPr>
        <w:t xml:space="preserve"> </w:t>
      </w:r>
      <w:r w:rsidRPr="008A2D83">
        <w:rPr>
          <w:rFonts w:ascii="Times New Roman" w:eastAsia="Calibri" w:hAnsi="Times New Roman"/>
          <w:sz w:val="24"/>
          <w:szCs w:val="24"/>
          <w:lang w:val="es-ES" w:eastAsia="en-US"/>
        </w:rPr>
        <w:t>2004). La explotación de los recursos naturales conlleva una distribución desigual de los costos económicos y ambientales entre actores en disputa que expresan diferentes “lenguajes de valorización del territorio” (Martínez-Alier, 2004). Las empresas mineras tienen un interés económico ligado a la exportación de minerales. Los actores políticos, sean subnacionales</w:t>
      </w:r>
      <w:r w:rsidR="0077392B">
        <w:rPr>
          <w:rFonts w:ascii="Times New Roman" w:eastAsia="Calibri" w:hAnsi="Times New Roman"/>
          <w:sz w:val="24"/>
          <w:szCs w:val="24"/>
          <w:lang w:val="es-ES" w:eastAsia="en-US"/>
        </w:rPr>
        <w:t xml:space="preserve"> </w:t>
      </w:r>
      <w:r w:rsidRPr="008A2D83">
        <w:rPr>
          <w:rFonts w:ascii="Times New Roman" w:eastAsia="Calibri" w:hAnsi="Times New Roman"/>
          <w:sz w:val="24"/>
          <w:szCs w:val="24"/>
          <w:lang w:val="es-ES" w:eastAsia="en-US"/>
        </w:rPr>
        <w:t>o federales, no manifiestan una posició</w:t>
      </w:r>
      <w:r w:rsidR="0077392B">
        <w:rPr>
          <w:rFonts w:ascii="Times New Roman" w:eastAsia="Calibri" w:hAnsi="Times New Roman"/>
          <w:sz w:val="24"/>
          <w:szCs w:val="24"/>
          <w:lang w:val="es-ES" w:eastAsia="en-US"/>
        </w:rPr>
        <w:t>n homogénea, oscilando entre la maximización de su</w:t>
      </w:r>
      <w:r w:rsidRPr="008A2D83">
        <w:rPr>
          <w:rFonts w:ascii="Times New Roman" w:eastAsia="Calibri" w:hAnsi="Times New Roman"/>
          <w:sz w:val="24"/>
          <w:szCs w:val="24"/>
          <w:lang w:val="es-ES" w:eastAsia="en-US"/>
        </w:rPr>
        <w:t xml:space="preserve"> renta minera hasta la búsqueda de marcos regulatorios </w:t>
      </w:r>
      <w:r w:rsidR="0077392B">
        <w:rPr>
          <w:rFonts w:ascii="Times New Roman" w:eastAsia="Calibri" w:hAnsi="Times New Roman"/>
          <w:sz w:val="24"/>
          <w:szCs w:val="24"/>
          <w:lang w:val="es-ES" w:eastAsia="en-US"/>
        </w:rPr>
        <w:t xml:space="preserve">que encuadren </w:t>
      </w:r>
      <w:r w:rsidRPr="008A2D83">
        <w:rPr>
          <w:rFonts w:ascii="Times New Roman" w:eastAsia="Calibri" w:hAnsi="Times New Roman"/>
          <w:sz w:val="24"/>
          <w:szCs w:val="24"/>
          <w:lang w:val="es-ES" w:eastAsia="en-US"/>
        </w:rPr>
        <w:t xml:space="preserve">la actividad extractiva. Los movimientos socioambientales, por su parte, suelen expresan una racionalidad ambiental u ontológica </w:t>
      </w:r>
      <w:r w:rsidR="0077392B">
        <w:rPr>
          <w:rFonts w:ascii="Times New Roman" w:eastAsia="Calibri" w:hAnsi="Times New Roman"/>
          <w:sz w:val="24"/>
          <w:szCs w:val="24"/>
          <w:lang w:val="es-ES" w:eastAsia="en-US"/>
        </w:rPr>
        <w:t xml:space="preserve">sobre el territorio que excede </w:t>
      </w:r>
      <w:r w:rsidRPr="008A2D83">
        <w:rPr>
          <w:rFonts w:ascii="Times New Roman" w:eastAsia="Calibri" w:hAnsi="Times New Roman"/>
          <w:sz w:val="24"/>
          <w:szCs w:val="24"/>
          <w:lang w:val="es-ES" w:eastAsia="en-US"/>
        </w:rPr>
        <w:t>lo económico o lo político</w:t>
      </w:r>
      <w:r w:rsidR="0077392B">
        <w:rPr>
          <w:rFonts w:ascii="Times New Roman" w:eastAsia="Calibri" w:hAnsi="Times New Roman"/>
          <w:sz w:val="24"/>
          <w:szCs w:val="24"/>
          <w:lang w:val="es-ES" w:eastAsia="en-US"/>
        </w:rPr>
        <w:t>.</w:t>
      </w:r>
      <w:r w:rsidRPr="008A2D83">
        <w:rPr>
          <w:rFonts w:ascii="Times New Roman" w:eastAsia="Calibri" w:hAnsi="Times New Roman"/>
          <w:sz w:val="24"/>
          <w:szCs w:val="24"/>
          <w:lang w:val="es-ES" w:eastAsia="en-US"/>
        </w:rPr>
        <w:t xml:space="preserve"> </w:t>
      </w:r>
    </w:p>
    <w:p w:rsidR="0090719B" w:rsidRDefault="006C2873" w:rsidP="004636E3">
      <w:pPr>
        <w:suppressAutoHyphens w:val="0"/>
        <w:spacing w:after="0" w:line="240" w:lineRule="auto"/>
        <w:jc w:val="both"/>
        <w:rPr>
          <w:rFonts w:ascii="Times New Roman" w:hAnsi="Times New Roman"/>
          <w:sz w:val="24"/>
          <w:szCs w:val="24"/>
          <w:lang w:val="es-ES" w:eastAsia="fr-CA"/>
        </w:rPr>
      </w:pPr>
      <w:r>
        <w:rPr>
          <w:rFonts w:ascii="Times New Roman" w:eastAsia="SimSun" w:hAnsi="Times New Roman"/>
          <w:kern w:val="1"/>
          <w:sz w:val="24"/>
          <w:szCs w:val="24"/>
          <w:lang w:val="es-ES" w:eastAsia="hi-IN" w:bidi="hi-IN"/>
        </w:rPr>
        <w:tab/>
      </w:r>
      <w:r w:rsidR="0077392B">
        <w:rPr>
          <w:rFonts w:ascii="Times New Roman" w:eastAsia="SimSun" w:hAnsi="Times New Roman"/>
          <w:kern w:val="1"/>
          <w:sz w:val="24"/>
          <w:szCs w:val="24"/>
          <w:lang w:val="es-ES" w:eastAsia="hi-IN" w:bidi="hi-IN"/>
        </w:rPr>
        <w:t xml:space="preserve">Una perspectiva de ecología política </w:t>
      </w:r>
      <w:r w:rsidRPr="008A2D83">
        <w:rPr>
          <w:rFonts w:ascii="Times New Roman" w:eastAsia="SimSun" w:hAnsi="Times New Roman"/>
          <w:kern w:val="1"/>
          <w:sz w:val="24"/>
          <w:szCs w:val="24"/>
          <w:lang w:val="es-ES" w:eastAsia="hi-IN" w:bidi="hi-IN"/>
        </w:rPr>
        <w:t>inscri</w:t>
      </w:r>
      <w:r w:rsidR="0077392B">
        <w:rPr>
          <w:rFonts w:ascii="Times New Roman" w:eastAsia="SimSun" w:hAnsi="Times New Roman"/>
          <w:kern w:val="1"/>
          <w:sz w:val="24"/>
          <w:szCs w:val="24"/>
          <w:lang w:val="es-ES" w:eastAsia="hi-IN" w:bidi="hi-IN"/>
        </w:rPr>
        <w:t xml:space="preserve">pta en la geografía </w:t>
      </w:r>
      <w:r w:rsidRPr="008A2D83">
        <w:rPr>
          <w:rFonts w:ascii="Times New Roman" w:eastAsia="SimSun" w:hAnsi="Times New Roman"/>
          <w:kern w:val="1"/>
          <w:sz w:val="24"/>
          <w:szCs w:val="24"/>
          <w:lang w:val="es-ES" w:eastAsia="hi-IN" w:bidi="hi-IN"/>
        </w:rPr>
        <w:t>privilegia un análisis de los conflictos miner</w:t>
      </w:r>
      <w:r w:rsidR="0077392B">
        <w:rPr>
          <w:rFonts w:ascii="Times New Roman" w:eastAsia="SimSun" w:hAnsi="Times New Roman"/>
          <w:kern w:val="1"/>
          <w:sz w:val="24"/>
          <w:szCs w:val="24"/>
          <w:lang w:val="es-ES" w:eastAsia="hi-IN" w:bidi="hi-IN"/>
        </w:rPr>
        <w:t>os</w:t>
      </w:r>
      <w:r w:rsidRPr="008A2D83">
        <w:rPr>
          <w:rFonts w:ascii="Times New Roman" w:eastAsia="SimSun" w:hAnsi="Times New Roman"/>
          <w:kern w:val="1"/>
          <w:sz w:val="24"/>
          <w:szCs w:val="24"/>
          <w:lang w:val="es-ES" w:eastAsia="hi-IN" w:bidi="hi-IN"/>
        </w:rPr>
        <w:t xml:space="preserve"> a nivel local o territorial entendiéndolos en el marco de la gobernanza (Bebbington, 2007). Por último, hay otro marco teórico que entiende este tipo de conflictos como distintos modelos de desarrollo en disputa</w:t>
      </w:r>
      <w:r w:rsidRPr="008A2D83">
        <w:rPr>
          <w:rFonts w:ascii="Times New Roman" w:eastAsia="Calibri" w:hAnsi="Times New Roman"/>
          <w:sz w:val="24"/>
          <w:szCs w:val="24"/>
          <w:lang w:val="es-ES" w:eastAsia="en-US"/>
        </w:rPr>
        <w:t xml:space="preserve"> (</w:t>
      </w:r>
      <w:r w:rsidRPr="008A2D83">
        <w:rPr>
          <w:rFonts w:ascii="Times New Roman" w:eastAsia="SimSun" w:hAnsi="Times New Roman"/>
          <w:kern w:val="1"/>
          <w:sz w:val="24"/>
          <w:szCs w:val="24"/>
          <w:lang w:val="es-ES" w:eastAsia="hi-IN" w:bidi="hi-IN"/>
        </w:rPr>
        <w:t>Svampa, 2011, Svampa y Viale 2014)</w:t>
      </w:r>
      <w:r w:rsidR="0077392B">
        <w:rPr>
          <w:rFonts w:ascii="Times New Roman" w:eastAsia="SimSun" w:hAnsi="Times New Roman"/>
          <w:kern w:val="1"/>
          <w:sz w:val="24"/>
          <w:szCs w:val="24"/>
          <w:lang w:val="es-ES" w:eastAsia="hi-IN" w:bidi="hi-IN"/>
        </w:rPr>
        <w:t xml:space="preserve"> donde </w:t>
      </w:r>
      <w:r w:rsidR="0077392B">
        <w:rPr>
          <w:rFonts w:ascii="Times New Roman" w:hAnsi="Times New Roman"/>
          <w:sz w:val="24"/>
          <w:szCs w:val="24"/>
          <w:lang w:val="es-ES" w:eastAsia="fr-CA"/>
        </w:rPr>
        <w:t xml:space="preserve">la </w:t>
      </w:r>
      <w:r w:rsidRPr="008A2D83">
        <w:rPr>
          <w:rFonts w:ascii="Times New Roman" w:hAnsi="Times New Roman"/>
          <w:sz w:val="24"/>
          <w:szCs w:val="24"/>
          <w:lang w:val="es-ES" w:eastAsia="fr-CA"/>
        </w:rPr>
        <w:t>pluralidad de actores involucrados (sociales, económicos y políticos) y la multiescalaridad</w:t>
      </w:r>
      <w:r w:rsidRPr="008A2D83">
        <w:rPr>
          <w:rStyle w:val="Appeldenotedefin"/>
          <w:rFonts w:ascii="Times New Roman" w:hAnsi="Times New Roman"/>
          <w:sz w:val="24"/>
          <w:szCs w:val="24"/>
          <w:lang w:val="es-ES" w:eastAsia="fr-CA"/>
        </w:rPr>
        <w:endnoteReference w:id="5"/>
      </w:r>
      <w:r w:rsidRPr="008A2D83">
        <w:rPr>
          <w:rFonts w:ascii="Times New Roman" w:hAnsi="Times New Roman"/>
          <w:sz w:val="24"/>
          <w:szCs w:val="24"/>
          <w:lang w:val="es-ES" w:eastAsia="fr-CA"/>
        </w:rPr>
        <w:t xml:space="preserve"> operan como mecanismos que favorecen la incidencia legislativa y por ende una disputa sobre las soberanías provinciales.</w:t>
      </w:r>
      <w:r>
        <w:rPr>
          <w:rFonts w:ascii="Times New Roman" w:hAnsi="Times New Roman"/>
          <w:sz w:val="24"/>
          <w:szCs w:val="24"/>
          <w:lang w:val="es-ES" w:eastAsia="fr-CA"/>
        </w:rPr>
        <w:tab/>
      </w:r>
      <w:r w:rsidR="0090719B">
        <w:rPr>
          <w:rFonts w:ascii="Times New Roman" w:hAnsi="Times New Roman"/>
          <w:sz w:val="24"/>
          <w:szCs w:val="24"/>
          <w:lang w:val="es-ES" w:eastAsia="fr-CA"/>
        </w:rPr>
        <w:t xml:space="preserve"> </w:t>
      </w:r>
    </w:p>
    <w:p w:rsidR="006C2873" w:rsidRPr="008A2D83" w:rsidRDefault="0090719B" w:rsidP="004636E3">
      <w:pPr>
        <w:suppressAutoHyphens w:val="0"/>
        <w:spacing w:after="0" w:line="240" w:lineRule="auto"/>
        <w:jc w:val="both"/>
        <w:rPr>
          <w:rFonts w:ascii="Times New Roman" w:hAnsi="Times New Roman"/>
          <w:sz w:val="24"/>
          <w:szCs w:val="24"/>
          <w:lang w:val="es-ES" w:eastAsia="fr-CA"/>
        </w:rPr>
      </w:pPr>
      <w:r>
        <w:rPr>
          <w:rFonts w:ascii="Times New Roman" w:hAnsi="Times New Roman"/>
          <w:sz w:val="24"/>
          <w:szCs w:val="24"/>
          <w:lang w:val="es-ES" w:eastAsia="fr-CA"/>
        </w:rPr>
        <w:tab/>
        <w:t xml:space="preserve">En </w:t>
      </w:r>
      <w:r w:rsidR="006C2873" w:rsidRPr="008A2D83">
        <w:rPr>
          <w:rFonts w:ascii="Times New Roman" w:hAnsi="Times New Roman"/>
          <w:sz w:val="24"/>
          <w:szCs w:val="24"/>
          <w:lang w:val="es-ES" w:eastAsia="fr-CA"/>
        </w:rPr>
        <w:t>tercer lugar, las soberanías en conflicto están atravesadas por tres dinámicas diferentes: convergentes, agonísticas y antagonísticas. En primera instancia, la idea de soberanías convergentes hace referencia a un proceso de convergencia entre los intereses de los gobiernos subnacionales y de las empresas mineras que logran des</w:t>
      </w:r>
      <w:r w:rsidR="00AF5276">
        <w:rPr>
          <w:rFonts w:ascii="Times New Roman" w:hAnsi="Times New Roman"/>
          <w:sz w:val="24"/>
          <w:szCs w:val="24"/>
          <w:lang w:val="es-ES" w:eastAsia="fr-CA"/>
        </w:rPr>
        <w:t>arrollar la explotación minera</w:t>
      </w:r>
      <w:r w:rsidR="006C2873" w:rsidRPr="008A2D83">
        <w:rPr>
          <w:rFonts w:ascii="Times New Roman" w:hAnsi="Times New Roman"/>
          <w:sz w:val="24"/>
          <w:szCs w:val="24"/>
          <w:lang w:val="es-ES" w:eastAsia="fr-CA"/>
        </w:rPr>
        <w:t xml:space="preserve">. Ya sea porque ésta no es vista como conflictiva por las comunidades, o porque estos actores logran aislar la influencia de la acción socioambiental de los mecanismos de decisión del Estado. Este razonamiento permite explicar varios casos de las provincias argentinas que logran ejercer la soberanía sobre los recursos mineros: Santa Cruz, San Juan, Catamarca, etc. </w:t>
      </w:r>
    </w:p>
    <w:p w:rsidR="006C2873" w:rsidRDefault="006C2873" w:rsidP="004636E3">
      <w:pPr>
        <w:suppressAutoHyphens w:val="0"/>
        <w:spacing w:after="0" w:line="240" w:lineRule="auto"/>
        <w:jc w:val="both"/>
        <w:rPr>
          <w:rFonts w:ascii="Times New Roman" w:hAnsi="Times New Roman"/>
          <w:sz w:val="24"/>
          <w:szCs w:val="24"/>
          <w:lang w:val="es-ES" w:eastAsia="fr-CA"/>
        </w:rPr>
      </w:pPr>
      <w:r>
        <w:rPr>
          <w:rFonts w:ascii="Times New Roman" w:hAnsi="Times New Roman"/>
          <w:sz w:val="24"/>
          <w:szCs w:val="24"/>
          <w:lang w:val="es-ES" w:eastAsia="fr-CA"/>
        </w:rPr>
        <w:tab/>
      </w:r>
      <w:r w:rsidRPr="008A2D83">
        <w:rPr>
          <w:rFonts w:ascii="Times New Roman" w:hAnsi="Times New Roman"/>
          <w:sz w:val="24"/>
          <w:szCs w:val="24"/>
          <w:lang w:val="es-ES" w:eastAsia="fr-CA"/>
        </w:rPr>
        <w:t>En segunda instancia</w:t>
      </w:r>
      <w:r>
        <w:rPr>
          <w:rFonts w:ascii="Times New Roman" w:hAnsi="Times New Roman"/>
          <w:sz w:val="24"/>
          <w:szCs w:val="24"/>
          <w:lang w:val="es-ES" w:eastAsia="fr-CA"/>
        </w:rPr>
        <w:t xml:space="preserve">, </w:t>
      </w:r>
      <w:r w:rsidRPr="008A2D83">
        <w:rPr>
          <w:rFonts w:ascii="Times New Roman" w:hAnsi="Times New Roman"/>
          <w:sz w:val="24"/>
          <w:szCs w:val="24"/>
          <w:lang w:val="es-ES" w:eastAsia="fr-CA"/>
        </w:rPr>
        <w:t>el concepto de soberanías agonísticas implica la constitución</w:t>
      </w:r>
      <w:r>
        <w:rPr>
          <w:rFonts w:ascii="Times New Roman" w:hAnsi="Times New Roman"/>
          <w:sz w:val="24"/>
          <w:szCs w:val="24"/>
          <w:lang w:val="es-ES" w:eastAsia="fr-CA"/>
        </w:rPr>
        <w:t xml:space="preserve"> de un movimiento de conte</w:t>
      </w:r>
      <w:r w:rsidRPr="008A2D83">
        <w:rPr>
          <w:rFonts w:ascii="Times New Roman" w:hAnsi="Times New Roman"/>
          <w:sz w:val="24"/>
          <w:szCs w:val="24"/>
          <w:lang w:val="es-ES" w:eastAsia="fr-CA"/>
        </w:rPr>
        <w:t>stación en la escala subnacional que logra impedir el desarrollo de este tipo de proyectos extractivos. El conflicto acontece en un contexto sociopolítico donde la violencia y el autoritarismo están menos desarrollados o no son empleados de f</w:t>
      </w:r>
      <w:r>
        <w:rPr>
          <w:rFonts w:ascii="Times New Roman" w:hAnsi="Times New Roman"/>
          <w:sz w:val="24"/>
          <w:szCs w:val="24"/>
          <w:lang w:val="es-ES" w:eastAsia="fr-CA"/>
        </w:rPr>
        <w:t xml:space="preserve">orma sistemática por el poder </w:t>
      </w:r>
      <w:r w:rsidRPr="008A2D83">
        <w:rPr>
          <w:rFonts w:ascii="Times New Roman" w:hAnsi="Times New Roman"/>
          <w:sz w:val="24"/>
          <w:szCs w:val="24"/>
          <w:lang w:val="es-ES" w:eastAsia="fr-CA"/>
        </w:rPr>
        <w:t>subnacional contra los militantes de los movimientos socioambientales.</w:t>
      </w:r>
    </w:p>
    <w:p w:rsidR="006C2873" w:rsidRPr="008A2D83" w:rsidRDefault="006C2873" w:rsidP="004636E3">
      <w:pPr>
        <w:suppressAutoHyphens w:val="0"/>
        <w:spacing w:after="0" w:line="240" w:lineRule="auto"/>
        <w:jc w:val="both"/>
        <w:rPr>
          <w:rFonts w:ascii="Times New Roman" w:hAnsi="Times New Roman"/>
          <w:sz w:val="24"/>
          <w:szCs w:val="24"/>
          <w:lang w:val="es-ES" w:eastAsia="fr-CA"/>
        </w:rPr>
      </w:pPr>
      <w:r>
        <w:rPr>
          <w:rFonts w:ascii="Times New Roman" w:hAnsi="Times New Roman"/>
          <w:sz w:val="24"/>
          <w:szCs w:val="24"/>
          <w:lang w:val="es-ES" w:eastAsia="fr-CA"/>
        </w:rPr>
        <w:tab/>
        <w:t>La idea</w:t>
      </w:r>
      <w:r w:rsidRPr="008A2D83">
        <w:rPr>
          <w:rFonts w:ascii="Times New Roman" w:hAnsi="Times New Roman"/>
          <w:sz w:val="24"/>
          <w:szCs w:val="24"/>
          <w:lang w:val="es-ES" w:eastAsia="fr-CA"/>
        </w:rPr>
        <w:t xml:space="preserve"> agonística concibe un espacio político más abierto o democrático en el cual el conflicto se estructura a partir de la noción de adversario y no de enemigo (Mouffe, 2005)</w:t>
      </w:r>
      <w:r>
        <w:rPr>
          <w:rFonts w:ascii="Times New Roman" w:hAnsi="Times New Roman"/>
          <w:sz w:val="24"/>
          <w:szCs w:val="24"/>
          <w:lang w:val="es-ES" w:eastAsia="fr-CA"/>
        </w:rPr>
        <w:t xml:space="preserve">. </w:t>
      </w:r>
      <w:r w:rsidRPr="008A2D83">
        <w:rPr>
          <w:rFonts w:ascii="Times New Roman" w:hAnsi="Times New Roman"/>
          <w:sz w:val="24"/>
          <w:szCs w:val="24"/>
          <w:lang w:val="es-ES" w:eastAsia="fr-CA"/>
        </w:rPr>
        <w:t>Esta idea nos permite explicar, por ejemplo, los ca</w:t>
      </w:r>
      <w:r w:rsidR="00AF5276">
        <w:rPr>
          <w:rFonts w:ascii="Times New Roman" w:hAnsi="Times New Roman"/>
          <w:sz w:val="24"/>
          <w:szCs w:val="24"/>
          <w:lang w:val="es-ES" w:eastAsia="fr-CA"/>
        </w:rPr>
        <w:t>sos de Chubut, Mendoza, Córdoba.</w:t>
      </w:r>
    </w:p>
    <w:p w:rsidR="006C2873" w:rsidRPr="008A2D83" w:rsidRDefault="006C2873" w:rsidP="004636E3">
      <w:pPr>
        <w:suppressAutoHyphens w:val="0"/>
        <w:spacing w:after="0" w:line="240" w:lineRule="auto"/>
        <w:jc w:val="both"/>
        <w:rPr>
          <w:rFonts w:ascii="Times New Roman" w:hAnsi="Times New Roman"/>
          <w:sz w:val="24"/>
          <w:szCs w:val="24"/>
          <w:lang w:val="es-ES" w:eastAsia="fr-CA"/>
        </w:rPr>
      </w:pPr>
      <w:r>
        <w:rPr>
          <w:rFonts w:ascii="Times New Roman" w:hAnsi="Times New Roman"/>
          <w:sz w:val="24"/>
          <w:szCs w:val="24"/>
          <w:lang w:val="es-ES" w:eastAsia="fr-CA"/>
        </w:rPr>
        <w:tab/>
      </w:r>
      <w:r w:rsidRPr="008A2D83">
        <w:rPr>
          <w:rFonts w:ascii="Times New Roman" w:hAnsi="Times New Roman"/>
          <w:sz w:val="24"/>
          <w:szCs w:val="24"/>
          <w:lang w:val="es-ES" w:eastAsia="fr-CA"/>
        </w:rPr>
        <w:t>En tercer</w:t>
      </w:r>
      <w:r>
        <w:rPr>
          <w:rFonts w:ascii="Times New Roman" w:hAnsi="Times New Roman"/>
          <w:sz w:val="24"/>
          <w:szCs w:val="24"/>
          <w:lang w:val="es-ES" w:eastAsia="fr-CA"/>
        </w:rPr>
        <w:t>a instancia,</w:t>
      </w:r>
      <w:r w:rsidRPr="008A2D83">
        <w:rPr>
          <w:rFonts w:ascii="Times New Roman" w:hAnsi="Times New Roman"/>
          <w:sz w:val="24"/>
          <w:szCs w:val="24"/>
          <w:lang w:val="es-ES" w:eastAsia="fr-CA"/>
        </w:rPr>
        <w:t xml:space="preserve"> las soberanías en conflicto</w:t>
      </w:r>
      <w:r>
        <w:rPr>
          <w:rFonts w:ascii="Times New Roman" w:hAnsi="Times New Roman"/>
          <w:sz w:val="24"/>
          <w:szCs w:val="24"/>
          <w:lang w:val="es-ES" w:eastAsia="fr-CA"/>
        </w:rPr>
        <w:t xml:space="preserve"> pueden adquirir una dinámica </w:t>
      </w:r>
      <w:r w:rsidR="00AF5276">
        <w:rPr>
          <w:rFonts w:ascii="Times New Roman" w:hAnsi="Times New Roman"/>
          <w:sz w:val="24"/>
          <w:szCs w:val="24"/>
          <w:lang w:val="es-ES" w:eastAsia="fr-CA"/>
        </w:rPr>
        <w:t>denominada</w:t>
      </w:r>
      <w:r w:rsidRPr="008A2D83">
        <w:rPr>
          <w:rFonts w:ascii="Times New Roman" w:hAnsi="Times New Roman"/>
          <w:sz w:val="24"/>
          <w:szCs w:val="24"/>
          <w:lang w:val="es-ES" w:eastAsia="fr-CA"/>
        </w:rPr>
        <w:t xml:space="preserve"> antagonista. Los militantes socioambientales contra el desarrollo </w:t>
      </w:r>
      <w:r w:rsidR="00AF5276">
        <w:rPr>
          <w:rFonts w:ascii="Times New Roman" w:hAnsi="Times New Roman"/>
          <w:sz w:val="24"/>
          <w:szCs w:val="24"/>
          <w:lang w:val="es-ES" w:eastAsia="fr-CA"/>
        </w:rPr>
        <w:t>minero</w:t>
      </w:r>
      <w:r w:rsidRPr="008A2D83">
        <w:rPr>
          <w:rFonts w:ascii="Times New Roman" w:hAnsi="Times New Roman"/>
          <w:sz w:val="24"/>
          <w:szCs w:val="24"/>
          <w:lang w:val="es-ES" w:eastAsia="fr-CA"/>
        </w:rPr>
        <w:t xml:space="preserve"> son considerados por el Estado como enemigos del progreso económico y en ciertos casos como terroristas. Este tipo de conflictos se desarrolla en un contexto político donde el Estado de derecho es débil y la respuesta del Estado a los militantes de los movimientos incluyen diferentes respuestas autoritarias: criminalización de la protesta social, represión policial, intervención del ejército, hasta el asesinato de manifestantes. Igualmente consideramos que las distintas dinámicas de las soberanías en conflicto no hay que tomarlas de forma excluyente, sino que en ciertos casos, como Catamarca, es posible identificar soberanías c</w:t>
      </w:r>
      <w:r>
        <w:rPr>
          <w:rFonts w:ascii="Times New Roman" w:hAnsi="Times New Roman"/>
          <w:sz w:val="24"/>
          <w:szCs w:val="24"/>
          <w:lang w:val="es-ES" w:eastAsia="fr-CA"/>
        </w:rPr>
        <w:t xml:space="preserve">onvergentes y </w:t>
      </w:r>
      <w:r w:rsidRPr="00BE5DE4">
        <w:rPr>
          <w:rFonts w:ascii="Times New Roman" w:hAnsi="Times New Roman"/>
          <w:sz w:val="24"/>
          <w:szCs w:val="24"/>
          <w:lang w:val="es-ES" w:eastAsia="fr-CA"/>
        </w:rPr>
        <w:t>antagonísticas.</w:t>
      </w:r>
    </w:p>
    <w:p w:rsidR="006C2873" w:rsidRPr="008A2D83" w:rsidRDefault="006C2873" w:rsidP="004636E3">
      <w:pPr>
        <w:pStyle w:val="Default"/>
        <w:jc w:val="both"/>
      </w:pPr>
    </w:p>
    <w:p w:rsidR="006C2873" w:rsidRDefault="006C2873" w:rsidP="00012BA3">
      <w:pPr>
        <w:suppressAutoHyphens w:val="0"/>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Las características de la soberanía subnacional</w:t>
      </w:r>
    </w:p>
    <w:p w:rsidR="006C2873" w:rsidRPr="00012BA3" w:rsidRDefault="006C2873" w:rsidP="00012BA3">
      <w:pPr>
        <w:suppressAutoHyphens w:val="0"/>
        <w:spacing w:after="0" w:line="240" w:lineRule="auto"/>
        <w:rPr>
          <w:rFonts w:ascii="Times New Roman" w:eastAsia="SimSun" w:hAnsi="Times New Roman"/>
          <w:color w:val="000000"/>
          <w:kern w:val="1"/>
          <w:sz w:val="24"/>
          <w:szCs w:val="24"/>
          <w:lang w:eastAsia="hi-IN" w:bidi="hi-IN"/>
        </w:rPr>
      </w:pPr>
    </w:p>
    <w:p w:rsidR="006C2873" w:rsidRPr="00012BA3" w:rsidRDefault="006C2873" w:rsidP="00012BA3">
      <w:pPr>
        <w:suppressAutoHyphens w:val="0"/>
        <w:spacing w:after="0" w:line="240" w:lineRule="auto"/>
        <w:rPr>
          <w:rFonts w:ascii="Times New Roman" w:eastAsia="Calibri" w:hAnsi="Times New Roman"/>
          <w:b/>
          <w:sz w:val="24"/>
          <w:szCs w:val="24"/>
          <w:lang w:eastAsia="en-US"/>
        </w:rPr>
      </w:pPr>
      <w:r w:rsidRPr="00012BA3">
        <w:rPr>
          <w:rFonts w:ascii="Times New Roman" w:eastAsia="SimSun" w:hAnsi="Times New Roman"/>
          <w:color w:val="000000"/>
          <w:kern w:val="1"/>
          <w:sz w:val="24"/>
          <w:szCs w:val="24"/>
          <w:lang w:val="es-ES" w:eastAsia="hi-IN" w:bidi="hi-IN"/>
        </w:rPr>
        <w:t xml:space="preserve">Distintos trabajos en ciencia política demuestran que la dinámica de democratización no es heterogénea en los Estados federales en América latina, </w:t>
      </w:r>
      <w:r w:rsidR="00B02539">
        <w:rPr>
          <w:rFonts w:ascii="Times New Roman" w:eastAsia="SimSun" w:hAnsi="Times New Roman"/>
          <w:color w:val="000000"/>
          <w:kern w:val="1"/>
          <w:sz w:val="24"/>
          <w:szCs w:val="24"/>
          <w:lang w:val="es-ES" w:eastAsia="hi-IN" w:bidi="hi-IN"/>
        </w:rPr>
        <w:t>como</w:t>
      </w:r>
      <w:r w:rsidRPr="00012BA3">
        <w:rPr>
          <w:rFonts w:ascii="Times New Roman" w:eastAsia="SimSun" w:hAnsi="Times New Roman"/>
          <w:color w:val="000000"/>
          <w:kern w:val="1"/>
          <w:sz w:val="24"/>
          <w:szCs w:val="24"/>
          <w:lang w:val="es-ES" w:eastAsia="hi-IN" w:bidi="hi-IN"/>
        </w:rPr>
        <w:t xml:space="preserve"> Brasil (Montero 2010, Hagopian 1996), México (Cornelius </w:t>
      </w:r>
      <w:r w:rsidRPr="00012BA3">
        <w:rPr>
          <w:rFonts w:ascii="Times New Roman" w:eastAsia="SimSun" w:hAnsi="Times New Roman"/>
          <w:i/>
          <w:iCs/>
          <w:color w:val="000000"/>
          <w:kern w:val="1"/>
          <w:sz w:val="24"/>
          <w:szCs w:val="24"/>
          <w:lang w:val="es-ES" w:eastAsia="hi-IN" w:bidi="hi-IN"/>
        </w:rPr>
        <w:t xml:space="preserve">et al. </w:t>
      </w:r>
      <w:r w:rsidRPr="00012BA3">
        <w:rPr>
          <w:rFonts w:ascii="Times New Roman" w:eastAsia="SimSun" w:hAnsi="Times New Roman"/>
          <w:color w:val="000000"/>
          <w:kern w:val="1"/>
          <w:sz w:val="24"/>
          <w:szCs w:val="24"/>
          <w:lang w:val="es-ES" w:eastAsia="hi-IN" w:bidi="hi-IN"/>
        </w:rPr>
        <w:t>1999; Durazo-Herrmann 2010)</w:t>
      </w:r>
      <w:r>
        <w:rPr>
          <w:rFonts w:ascii="Times New Roman" w:eastAsia="SimSun" w:hAnsi="Times New Roman"/>
          <w:color w:val="000000"/>
          <w:kern w:val="1"/>
          <w:sz w:val="24"/>
          <w:szCs w:val="24"/>
          <w:lang w:val="es-ES" w:eastAsia="hi-IN" w:bidi="hi-IN"/>
        </w:rPr>
        <w:t xml:space="preserve"> o Argentina (Behrend 2011</w:t>
      </w:r>
      <w:r w:rsidRPr="00012BA3">
        <w:rPr>
          <w:rFonts w:ascii="Times New Roman" w:eastAsia="SimSun" w:hAnsi="Times New Roman"/>
          <w:color w:val="000000"/>
          <w:kern w:val="1"/>
          <w:sz w:val="24"/>
          <w:szCs w:val="24"/>
          <w:lang w:val="es-ES" w:eastAsia="hi-IN" w:bidi="hi-IN"/>
        </w:rPr>
        <w:t xml:space="preserve">; Gibson 2005, 2012; Gervasoni 2010 y Giraudy 2011). </w:t>
      </w:r>
    </w:p>
    <w:p w:rsidR="006C2873" w:rsidRPr="00012BA3" w:rsidRDefault="006C2873" w:rsidP="00012BA3">
      <w:pPr>
        <w:suppressAutoHyphens w:val="0"/>
        <w:spacing w:after="0" w:line="240" w:lineRule="auto"/>
        <w:ind w:firstLine="709"/>
        <w:jc w:val="both"/>
        <w:rPr>
          <w:rFonts w:ascii="Times New Roman" w:eastAsia="SimSun" w:hAnsi="Times New Roman"/>
          <w:color w:val="000000"/>
          <w:kern w:val="1"/>
          <w:sz w:val="24"/>
          <w:szCs w:val="24"/>
          <w:lang w:val="es-ES" w:eastAsia="hi-IN" w:bidi="hi-IN"/>
        </w:rPr>
      </w:pPr>
      <w:r w:rsidRPr="00012BA3">
        <w:rPr>
          <w:rFonts w:ascii="Times New Roman" w:eastAsia="SimSun" w:hAnsi="Times New Roman"/>
          <w:color w:val="000000"/>
          <w:kern w:val="1"/>
          <w:sz w:val="24"/>
          <w:szCs w:val="24"/>
          <w:lang w:val="es-ES" w:eastAsia="hi-IN" w:bidi="hi-IN"/>
        </w:rPr>
        <w:t xml:space="preserve">Dos diferencias importantes </w:t>
      </w:r>
      <w:r w:rsidR="00B02539">
        <w:rPr>
          <w:rFonts w:ascii="Times New Roman" w:eastAsia="SimSun" w:hAnsi="Times New Roman"/>
          <w:color w:val="000000"/>
          <w:kern w:val="1"/>
          <w:sz w:val="24"/>
          <w:szCs w:val="24"/>
          <w:lang w:val="es-ES" w:eastAsia="hi-IN" w:bidi="hi-IN"/>
        </w:rPr>
        <w:t>presentan</w:t>
      </w:r>
      <w:r w:rsidRPr="00012BA3">
        <w:rPr>
          <w:rFonts w:ascii="Times New Roman" w:eastAsia="SimSun" w:hAnsi="Times New Roman"/>
          <w:color w:val="000000"/>
          <w:kern w:val="1"/>
          <w:sz w:val="24"/>
          <w:szCs w:val="24"/>
          <w:lang w:val="es-ES" w:eastAsia="hi-IN" w:bidi="hi-IN"/>
        </w:rPr>
        <w:t xml:space="preserve"> estos trabajos. Un primer grupo de autores prefiere hablar de diferentes grados de democratización subancional (Behrend 2011, Gervasoni 2010, Giraudy 2010) y señalan más bien que se trata de regímenes políticos híbridos donde coexisten dimensiones autoritarias y democráticas. </w:t>
      </w:r>
      <w:r>
        <w:rPr>
          <w:rFonts w:ascii="Times New Roman" w:eastAsia="SimSun" w:hAnsi="Times New Roman"/>
          <w:color w:val="000000"/>
          <w:kern w:val="1"/>
          <w:sz w:val="24"/>
          <w:szCs w:val="24"/>
          <w:lang w:val="es-ES" w:eastAsia="hi-IN" w:bidi="hi-IN"/>
        </w:rPr>
        <w:t>(Diamond 2002 y Karl 199</w:t>
      </w:r>
      <w:r w:rsidRPr="00012BA3">
        <w:rPr>
          <w:rFonts w:ascii="Times New Roman" w:eastAsia="SimSun" w:hAnsi="Times New Roman"/>
          <w:color w:val="000000"/>
          <w:kern w:val="1"/>
          <w:sz w:val="24"/>
          <w:szCs w:val="24"/>
          <w:lang w:val="es-ES" w:eastAsia="hi-IN" w:bidi="hi-IN"/>
        </w:rPr>
        <w:t>5). Un segundo grupo de autores afirma que al interior de la federación existen regímenes políticos autoritarios (Cornelius</w:t>
      </w:r>
      <w:r>
        <w:rPr>
          <w:rFonts w:ascii="Times New Roman" w:eastAsia="SimSun" w:hAnsi="Times New Roman"/>
          <w:color w:val="000000"/>
          <w:kern w:val="1"/>
          <w:sz w:val="24"/>
          <w:szCs w:val="24"/>
          <w:lang w:val="es-ES" w:eastAsia="hi-IN" w:bidi="hi-IN"/>
        </w:rPr>
        <w:t xml:space="preserve"> et al.</w:t>
      </w:r>
      <w:r w:rsidRPr="00012BA3">
        <w:rPr>
          <w:rFonts w:ascii="Times New Roman" w:eastAsia="SimSun" w:hAnsi="Times New Roman"/>
          <w:color w:val="000000"/>
          <w:kern w:val="1"/>
          <w:sz w:val="24"/>
          <w:szCs w:val="24"/>
          <w:lang w:val="es-ES" w:eastAsia="hi-IN" w:bidi="hi-IN"/>
        </w:rPr>
        <w:t xml:space="preserve"> 1999, Gibson 2012) o enclaves autoritarios (Durazo-Herrmann 2010). En ambos casos el criterio de demarcación entre democracia y autoritarismo se construye a partir del concepto de poliarquía (Dahl 1971)</w:t>
      </w:r>
      <w:r>
        <w:rPr>
          <w:rFonts w:ascii="Times New Roman" w:eastAsia="SimSun" w:hAnsi="Times New Roman"/>
          <w:color w:val="000000"/>
          <w:kern w:val="1"/>
          <w:sz w:val="24"/>
          <w:szCs w:val="24"/>
          <w:lang w:val="es-ES" w:eastAsia="hi-IN" w:bidi="hi-IN"/>
        </w:rPr>
        <w:t>.</w:t>
      </w:r>
    </w:p>
    <w:p w:rsidR="006C2873" w:rsidRPr="00012BA3" w:rsidRDefault="006C2873" w:rsidP="00012BA3">
      <w:pPr>
        <w:widowControl w:val="0"/>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val="es-ES" w:eastAsia="hi-IN" w:bidi="hi-IN"/>
        </w:rPr>
        <w:tab/>
        <w:t>Nuestro</w:t>
      </w:r>
      <w:r w:rsidRPr="00012BA3">
        <w:rPr>
          <w:rFonts w:ascii="Times New Roman" w:eastAsia="SimSun" w:hAnsi="Times New Roman"/>
          <w:color w:val="000000"/>
          <w:kern w:val="1"/>
          <w:sz w:val="24"/>
          <w:szCs w:val="24"/>
          <w:lang w:val="es-ES" w:eastAsia="hi-IN" w:bidi="hi-IN"/>
        </w:rPr>
        <w:t xml:space="preserve"> argumento coincide </w:t>
      </w:r>
      <w:r w:rsidR="00B02539">
        <w:rPr>
          <w:rFonts w:ascii="Times New Roman" w:eastAsia="SimSun" w:hAnsi="Times New Roman"/>
          <w:color w:val="000000"/>
          <w:kern w:val="1"/>
          <w:sz w:val="24"/>
          <w:szCs w:val="24"/>
          <w:lang w:val="es-ES" w:eastAsia="hi-IN" w:bidi="hi-IN"/>
        </w:rPr>
        <w:t xml:space="preserve">con la posición inicial, </w:t>
      </w:r>
      <w:r w:rsidRPr="00012BA3">
        <w:rPr>
          <w:rFonts w:ascii="Times New Roman" w:eastAsia="SimSun" w:hAnsi="Times New Roman"/>
          <w:bCs/>
          <w:kern w:val="1"/>
          <w:sz w:val="24"/>
          <w:szCs w:val="24"/>
          <w:lang w:eastAsia="hi-IN" w:bidi="hi-IN"/>
        </w:rPr>
        <w:t xml:space="preserve">Argentina presenta una democracia federal consolidada desde su recuperación en 1983. Sin embargo, </w:t>
      </w:r>
      <w:r>
        <w:rPr>
          <w:rFonts w:ascii="Times New Roman" w:eastAsia="SimSun" w:hAnsi="Times New Roman"/>
          <w:bCs/>
          <w:kern w:val="1"/>
          <w:sz w:val="24"/>
          <w:szCs w:val="24"/>
          <w:lang w:eastAsia="hi-IN" w:bidi="hi-IN"/>
        </w:rPr>
        <w:t xml:space="preserve">nuestra lectura a partir de la noción de soberanías en conflicto se desplaza de una discusión estrictamente en términos de régimen político, para incorporar una lectura en términos de soberanía que implica dar cuenta de las diferentes dinámicas que asume el poder subnacional respecto al territorio. </w:t>
      </w:r>
      <w:r w:rsidRPr="00012BA3">
        <w:rPr>
          <w:rFonts w:ascii="Times New Roman" w:eastAsia="SimSun" w:hAnsi="Times New Roman"/>
          <w:kern w:val="1"/>
          <w:sz w:val="24"/>
          <w:szCs w:val="24"/>
          <w:lang w:eastAsia="hi-IN" w:bidi="hi-IN"/>
        </w:rPr>
        <w:t>La tesis de la territorialización de la política (Gibson 2012) es una lectura común del enfoque de la política subnacional, pero la circunscribe únicamente en los términos de la representación territorial. Sin embargo, esa literatura presta escasa atención que este fenómeno está atravesada por visiones antagónicas del territorio ent</w:t>
      </w:r>
      <w:r>
        <w:rPr>
          <w:rFonts w:ascii="Times New Roman" w:eastAsia="SimSun" w:hAnsi="Times New Roman"/>
          <w:kern w:val="1"/>
          <w:sz w:val="24"/>
          <w:szCs w:val="24"/>
          <w:lang w:eastAsia="hi-IN" w:bidi="hi-IN"/>
        </w:rPr>
        <w:t>re los gobiernos subnacionales,</w:t>
      </w:r>
      <w:r w:rsidRPr="00012BA3">
        <w:rPr>
          <w:rFonts w:ascii="Times New Roman" w:eastAsia="SimSun" w:hAnsi="Times New Roman"/>
          <w:kern w:val="1"/>
          <w:sz w:val="24"/>
          <w:szCs w:val="24"/>
          <w:lang w:eastAsia="hi-IN" w:bidi="hi-IN"/>
        </w:rPr>
        <w:t xml:space="preserve"> los movimientos socioambientales</w:t>
      </w:r>
      <w:r>
        <w:rPr>
          <w:rFonts w:ascii="Times New Roman" w:eastAsia="SimSun" w:hAnsi="Times New Roman"/>
          <w:kern w:val="1"/>
          <w:sz w:val="24"/>
          <w:szCs w:val="24"/>
          <w:lang w:eastAsia="hi-IN" w:bidi="hi-IN"/>
        </w:rPr>
        <w:t xml:space="preserve"> e indígenas</w:t>
      </w:r>
      <w:r w:rsidRPr="00012BA3">
        <w:rPr>
          <w:rFonts w:ascii="Times New Roman" w:eastAsia="SimSun" w:hAnsi="Times New Roman"/>
          <w:kern w:val="1"/>
          <w:sz w:val="24"/>
          <w:szCs w:val="24"/>
          <w:lang w:eastAsia="hi-IN" w:bidi="hi-IN"/>
        </w:rPr>
        <w:t xml:space="preserve"> con respecto a la explotación de recursos naturales.</w:t>
      </w:r>
    </w:p>
    <w:p w:rsidR="006C2873" w:rsidRPr="00012BA3" w:rsidRDefault="006C2873" w:rsidP="00012BA3">
      <w:pPr>
        <w:suppressAutoHyphens w:val="0"/>
        <w:spacing w:after="0" w:line="240" w:lineRule="auto"/>
        <w:ind w:firstLine="709"/>
        <w:contextualSpacing/>
        <w:jc w:val="both"/>
        <w:rPr>
          <w:rFonts w:ascii="Times New Roman" w:eastAsia="SimSun" w:hAnsi="Times New Roman" w:cs="Mangal"/>
          <w:kern w:val="1"/>
          <w:sz w:val="24"/>
          <w:szCs w:val="24"/>
          <w:lang w:eastAsia="hi-IN" w:bidi="hi-IN"/>
        </w:rPr>
      </w:pPr>
      <w:r w:rsidRPr="00012BA3">
        <w:rPr>
          <w:rFonts w:ascii="Times New Roman" w:eastAsia="SimSun" w:hAnsi="Times New Roman"/>
          <w:kern w:val="1"/>
          <w:sz w:val="24"/>
          <w:szCs w:val="24"/>
          <w:lang w:eastAsia="hi-IN" w:bidi="hi-IN"/>
        </w:rPr>
        <w:t xml:space="preserve">El segundo punto de discusión </w:t>
      </w:r>
      <w:r>
        <w:rPr>
          <w:rFonts w:ascii="Times New Roman" w:eastAsia="SimSun" w:hAnsi="Times New Roman"/>
          <w:kern w:val="1"/>
          <w:sz w:val="24"/>
          <w:szCs w:val="24"/>
          <w:lang w:eastAsia="hi-IN" w:bidi="hi-IN"/>
        </w:rPr>
        <w:t>se relaciona con</w:t>
      </w:r>
      <w:r w:rsidRPr="00012BA3">
        <w:rPr>
          <w:rFonts w:ascii="Times New Roman" w:eastAsia="SimSun" w:hAnsi="Times New Roman"/>
          <w:kern w:val="1"/>
          <w:sz w:val="24"/>
          <w:szCs w:val="24"/>
          <w:lang w:eastAsia="hi-IN" w:bidi="hi-IN"/>
        </w:rPr>
        <w:t xml:space="preserve"> las causas que explican los diferentes grados de democratización subnacional</w:t>
      </w:r>
      <w:r w:rsidR="00B02539">
        <w:rPr>
          <w:rFonts w:ascii="Times New Roman" w:eastAsia="SimSun" w:hAnsi="Times New Roman"/>
          <w:kern w:val="1"/>
          <w:sz w:val="24"/>
          <w:szCs w:val="24"/>
          <w:lang w:eastAsia="hi-IN" w:bidi="hi-IN"/>
        </w:rPr>
        <w:t>es. Ciertos autores</w:t>
      </w:r>
      <w:r w:rsidRPr="00012BA3">
        <w:rPr>
          <w:rFonts w:ascii="Times New Roman" w:eastAsia="SimSun" w:hAnsi="Times New Roman"/>
          <w:kern w:val="1"/>
          <w:sz w:val="24"/>
          <w:szCs w:val="24"/>
          <w:lang w:eastAsia="hi-IN" w:bidi="hi-IN"/>
        </w:rPr>
        <w:t xml:space="preserve"> sostiene que es producto de la relación que se establece entre el régimen político federal y el subnacional (Gibson 2012, Giraudy 2009, Gervasoni 2010).</w:t>
      </w:r>
      <w:r w:rsidRPr="00012BA3">
        <w:rPr>
          <w:rFonts w:ascii="Times New Roman" w:eastAsia="SimSun" w:hAnsi="Times New Roman" w:cs="Mangal"/>
          <w:kern w:val="1"/>
          <w:sz w:val="24"/>
          <w:szCs w:val="24"/>
          <w:lang w:eastAsia="hi-IN" w:bidi="hi-IN"/>
        </w:rPr>
        <w:t xml:space="preserve"> Una segunda línea de investigación señala que también es fundamental analizar la dinámica política interna para comprender porque ciertas provincias o Estados se caracterizan por la existencia de enclaves autoritarios </w:t>
      </w:r>
      <w:r w:rsidRPr="00BE5DE4">
        <w:rPr>
          <w:rFonts w:ascii="Times New Roman" w:eastAsia="SimSun" w:hAnsi="Times New Roman" w:cs="Mangal"/>
          <w:kern w:val="1"/>
          <w:sz w:val="24"/>
          <w:szCs w:val="24"/>
          <w:lang w:eastAsia="hi-IN" w:bidi="hi-IN"/>
        </w:rPr>
        <w:t>subnacionales</w:t>
      </w:r>
      <w:r w:rsidRPr="00012BA3">
        <w:rPr>
          <w:rFonts w:ascii="Times New Roman" w:eastAsia="SimSun" w:hAnsi="Times New Roman" w:cs="Mangal"/>
          <w:kern w:val="1"/>
          <w:sz w:val="24"/>
          <w:szCs w:val="24"/>
          <w:lang w:eastAsia="hi-IN" w:bidi="hi-IN"/>
        </w:rPr>
        <w:t xml:space="preserve"> (Durazo-Herrmann 2009, 2010) o menores grados de</w:t>
      </w:r>
      <w:r>
        <w:rPr>
          <w:rFonts w:ascii="Times New Roman" w:eastAsia="SimSun" w:hAnsi="Times New Roman" w:cs="Mangal"/>
          <w:kern w:val="1"/>
          <w:sz w:val="24"/>
          <w:szCs w:val="24"/>
          <w:lang w:eastAsia="hi-IN" w:bidi="hi-IN"/>
        </w:rPr>
        <w:t xml:space="preserve"> democratización (Behrend 2011). </w:t>
      </w:r>
      <w:r w:rsidRPr="00012BA3">
        <w:rPr>
          <w:rFonts w:ascii="Times New Roman" w:eastAsia="SimSun" w:hAnsi="Times New Roman" w:cs="Mangal"/>
          <w:kern w:val="1"/>
          <w:sz w:val="24"/>
          <w:szCs w:val="24"/>
          <w:lang w:eastAsia="hi-IN" w:bidi="hi-IN"/>
        </w:rPr>
        <w:t>En este artículo asum</w:t>
      </w:r>
      <w:r>
        <w:rPr>
          <w:rFonts w:ascii="Times New Roman" w:eastAsia="SimSun" w:hAnsi="Times New Roman" w:cs="Mangal"/>
          <w:kern w:val="1"/>
          <w:sz w:val="24"/>
          <w:szCs w:val="24"/>
          <w:lang w:eastAsia="hi-IN" w:bidi="hi-IN"/>
        </w:rPr>
        <w:t>imos</w:t>
      </w:r>
      <w:r w:rsidRPr="00012BA3">
        <w:rPr>
          <w:rFonts w:ascii="Times New Roman" w:eastAsia="SimSun" w:hAnsi="Times New Roman" w:cs="Mangal"/>
          <w:kern w:val="1"/>
          <w:sz w:val="24"/>
          <w:szCs w:val="24"/>
          <w:lang w:eastAsia="hi-IN" w:bidi="hi-IN"/>
        </w:rPr>
        <w:t xml:space="preserve"> que esta última posición es clave para nuestro argumento.</w:t>
      </w:r>
      <w:r w:rsidRPr="00012BA3">
        <w:rPr>
          <w:rFonts w:ascii="Times New Roman" w:eastAsia="SimSun" w:hAnsi="Times New Roman"/>
          <w:kern w:val="1"/>
          <w:sz w:val="24"/>
          <w:szCs w:val="24"/>
          <w:lang w:eastAsia="hi-IN" w:bidi="hi-IN"/>
        </w:rPr>
        <w:t xml:space="preserve"> El desarrollo de la minería transnacional es una política de Estado impulsada a nivel federal. Sin embargo, a partir de esta dimensión no se podría explicar</w:t>
      </w:r>
      <w:r>
        <w:rPr>
          <w:rFonts w:ascii="Times New Roman" w:eastAsia="SimSun" w:hAnsi="Times New Roman"/>
          <w:kern w:val="1"/>
          <w:sz w:val="24"/>
          <w:szCs w:val="24"/>
          <w:lang w:eastAsia="hi-IN" w:bidi="hi-IN"/>
        </w:rPr>
        <w:t xml:space="preserve"> el</w:t>
      </w:r>
      <w:r w:rsidR="00B02539">
        <w:rPr>
          <w:rFonts w:ascii="Times New Roman" w:eastAsia="SimSun" w:hAnsi="Times New Roman"/>
          <w:kern w:val="1"/>
          <w:sz w:val="24"/>
          <w:szCs w:val="24"/>
          <w:lang w:eastAsia="hi-IN" w:bidi="hi-IN"/>
        </w:rPr>
        <w:t xml:space="preserve"> </w:t>
      </w:r>
      <w:r w:rsidRPr="00BE5DE4">
        <w:rPr>
          <w:rFonts w:ascii="Times New Roman" w:eastAsia="SimSun" w:hAnsi="Times New Roman"/>
          <w:kern w:val="1"/>
          <w:sz w:val="24"/>
          <w:szCs w:val="24"/>
          <w:lang w:eastAsia="hi-IN" w:bidi="hi-IN"/>
        </w:rPr>
        <w:t>porqué</w:t>
      </w:r>
      <w:r w:rsidR="00B02539">
        <w:rPr>
          <w:rFonts w:ascii="Times New Roman" w:eastAsia="SimSun" w:hAnsi="Times New Roman"/>
          <w:kern w:val="1"/>
          <w:sz w:val="24"/>
          <w:szCs w:val="24"/>
          <w:lang w:eastAsia="hi-IN" w:bidi="hi-IN"/>
        </w:rPr>
        <w:t xml:space="preserve"> </w:t>
      </w:r>
      <w:r w:rsidRPr="00012BA3">
        <w:rPr>
          <w:rFonts w:ascii="Times New Roman" w:eastAsia="SimSun" w:hAnsi="Times New Roman"/>
          <w:kern w:val="1"/>
          <w:sz w:val="24"/>
          <w:szCs w:val="24"/>
          <w:lang w:eastAsia="hi-IN" w:bidi="hi-IN"/>
        </w:rPr>
        <w:t>en la Argentina el desarrollo de la minería transnacional tie</w:t>
      </w:r>
      <w:r>
        <w:rPr>
          <w:rFonts w:ascii="Times New Roman" w:eastAsia="SimSun" w:hAnsi="Times New Roman"/>
          <w:kern w:val="1"/>
          <w:sz w:val="24"/>
          <w:szCs w:val="24"/>
          <w:lang w:eastAsia="hi-IN" w:bidi="hi-IN"/>
        </w:rPr>
        <w:t xml:space="preserve">ne diferentes resultados a </w:t>
      </w:r>
      <w:r w:rsidRPr="00BE5DE4">
        <w:rPr>
          <w:rFonts w:ascii="Times New Roman" w:eastAsia="SimSun" w:hAnsi="Times New Roman"/>
          <w:kern w:val="1"/>
          <w:sz w:val="24"/>
          <w:szCs w:val="24"/>
          <w:lang w:eastAsia="hi-IN" w:bidi="hi-IN"/>
        </w:rPr>
        <w:t>escala subnacional</w:t>
      </w:r>
      <w:r>
        <w:rPr>
          <w:rFonts w:ascii="Times New Roman" w:eastAsia="SimSun" w:hAnsi="Times New Roman"/>
          <w:kern w:val="1"/>
          <w:sz w:val="24"/>
          <w:szCs w:val="24"/>
          <w:lang w:eastAsia="hi-IN" w:bidi="hi-IN"/>
        </w:rPr>
        <w:t xml:space="preserve">, ni tampoco el grado de cumplimiento de la Ley de Glaciares. </w:t>
      </w:r>
    </w:p>
    <w:p w:rsidR="006C2873" w:rsidRDefault="006C2873" w:rsidP="004636E3">
      <w:pPr>
        <w:spacing w:after="0" w:line="240" w:lineRule="auto"/>
        <w:jc w:val="both"/>
        <w:rPr>
          <w:rFonts w:ascii="Times New Roman" w:hAnsi="Times New Roman"/>
          <w:b/>
          <w:sz w:val="24"/>
          <w:szCs w:val="24"/>
        </w:rPr>
      </w:pPr>
    </w:p>
    <w:p w:rsidR="006C2873" w:rsidRDefault="006C2873" w:rsidP="004636E3">
      <w:pPr>
        <w:spacing w:after="0" w:line="240" w:lineRule="auto"/>
        <w:jc w:val="both"/>
        <w:rPr>
          <w:rFonts w:ascii="Times New Roman" w:hAnsi="Times New Roman"/>
          <w:b/>
          <w:sz w:val="24"/>
          <w:szCs w:val="24"/>
        </w:rPr>
      </w:pPr>
      <w:r w:rsidRPr="008A2D83">
        <w:rPr>
          <w:rFonts w:ascii="Times New Roman" w:hAnsi="Times New Roman"/>
          <w:b/>
          <w:sz w:val="24"/>
          <w:szCs w:val="24"/>
        </w:rPr>
        <w:t>El caso de Ley de Glaciares y las soberanías en conflicto</w:t>
      </w:r>
    </w:p>
    <w:p w:rsidR="006C2873" w:rsidRPr="008A2D83" w:rsidRDefault="006C2873" w:rsidP="004636E3">
      <w:pPr>
        <w:spacing w:after="0" w:line="240" w:lineRule="auto"/>
        <w:jc w:val="both"/>
        <w:rPr>
          <w:rFonts w:ascii="Times New Roman" w:hAnsi="Times New Roman"/>
          <w:b/>
          <w:sz w:val="24"/>
          <w:szCs w:val="24"/>
        </w:rPr>
      </w:pPr>
    </w:p>
    <w:p w:rsidR="006C2873" w:rsidRPr="008A2D83" w:rsidRDefault="00D036AE" w:rsidP="004636E3">
      <w:pPr>
        <w:spacing w:after="0" w:line="240" w:lineRule="auto"/>
        <w:jc w:val="both"/>
        <w:rPr>
          <w:rFonts w:ascii="Times New Roman" w:hAnsi="Times New Roman"/>
          <w:sz w:val="24"/>
          <w:szCs w:val="24"/>
        </w:rPr>
      </w:pPr>
      <w:r w:rsidRPr="007E4FB9">
        <w:rPr>
          <w:rFonts w:ascii="Times New Roman" w:hAnsi="Times New Roman"/>
          <w:sz w:val="24"/>
          <w:szCs w:val="24"/>
        </w:rPr>
        <w:t xml:space="preserve">La protección de los glaciares es fundamental para el resguardo de los recursos hídricos, la defensa del ecosistema de la cordillera de los andes y, </w:t>
      </w:r>
      <w:r w:rsidR="00300637" w:rsidRPr="007E4FB9">
        <w:rPr>
          <w:rFonts w:ascii="Times New Roman" w:hAnsi="Times New Roman"/>
          <w:sz w:val="24"/>
          <w:szCs w:val="24"/>
        </w:rPr>
        <w:t>fundamentalmente</w:t>
      </w:r>
      <w:r w:rsidRPr="007E4FB9">
        <w:rPr>
          <w:rFonts w:ascii="Times New Roman" w:hAnsi="Times New Roman"/>
          <w:sz w:val="24"/>
          <w:szCs w:val="24"/>
        </w:rPr>
        <w:t xml:space="preserve">, para garantizar la subsistencia de las actividades productivas y la supervivencia humana misma. Durante la discusión pública en torno a los glaciares, se politizó el agua y la importancia del recurso hídrico (Bottaro y Álvarez 2016), colocando en el centro del debate la </w:t>
      </w:r>
      <w:r w:rsidR="006C2873" w:rsidRPr="007E4FB9">
        <w:rPr>
          <w:rFonts w:ascii="Times New Roman" w:hAnsi="Times New Roman"/>
          <w:sz w:val="24"/>
          <w:szCs w:val="24"/>
        </w:rPr>
        <w:t xml:space="preserve"> reconfiguración de la soberanía entre el poder federal y los poderes subnacionales.</w:t>
      </w:r>
      <w:r w:rsidR="006C2873" w:rsidRPr="00D036AE">
        <w:rPr>
          <w:rFonts w:ascii="Times New Roman" w:hAnsi="Times New Roman"/>
          <w:sz w:val="24"/>
          <w:szCs w:val="24"/>
        </w:rPr>
        <w:t xml:space="preserve"> El concepto de soberanías en conflicto nos permite explicar las diferentes dinámicas que asume la soberanía en el caso de la sanción de la Ley de Glaciares.</w:t>
      </w:r>
      <w:r w:rsidR="00B02539" w:rsidRPr="00D036AE">
        <w:rPr>
          <w:rFonts w:ascii="Times New Roman" w:hAnsi="Times New Roman"/>
          <w:sz w:val="24"/>
          <w:szCs w:val="24"/>
        </w:rPr>
        <w:t xml:space="preserve"> </w:t>
      </w:r>
      <w:r w:rsidR="006C2873" w:rsidRPr="00D036AE">
        <w:rPr>
          <w:rFonts w:ascii="Times New Roman" w:hAnsi="Times New Roman"/>
          <w:sz w:val="24"/>
          <w:szCs w:val="24"/>
        </w:rPr>
        <w:t>El cambio de escala del conflicto socioambiental de lo subnacional a lo federal obedeció a que en esa escala se plantea una dinámica agonística, ofrecía un mayor grado de apertura política y posibilidad de incidencia en la arena legislativa federal, y una mayor capacidad de organización y articulación del movimiento socioambiental.</w:t>
      </w:r>
      <w:r w:rsidR="006C2873">
        <w:rPr>
          <w:rFonts w:ascii="Times New Roman" w:hAnsi="Times New Roman"/>
          <w:sz w:val="24"/>
          <w:szCs w:val="24"/>
        </w:rPr>
        <w:t xml:space="preserve"> </w:t>
      </w:r>
    </w:p>
    <w:p w:rsidR="006C2873" w:rsidRPr="008A2D83" w:rsidRDefault="006C2873" w:rsidP="004636E3">
      <w:pPr>
        <w:spacing w:after="0" w:line="240" w:lineRule="auto"/>
        <w:jc w:val="both"/>
        <w:rPr>
          <w:rFonts w:ascii="Times New Roman" w:hAnsi="Times New Roman"/>
          <w:sz w:val="24"/>
          <w:szCs w:val="24"/>
        </w:rPr>
      </w:pPr>
      <w:r>
        <w:rPr>
          <w:rFonts w:ascii="Times New Roman" w:hAnsi="Times New Roman"/>
          <w:sz w:val="24"/>
          <w:szCs w:val="24"/>
        </w:rPr>
        <w:tab/>
      </w:r>
      <w:r w:rsidRPr="008A2D83">
        <w:rPr>
          <w:rFonts w:ascii="Times New Roman" w:hAnsi="Times New Roman"/>
          <w:sz w:val="24"/>
          <w:szCs w:val="24"/>
        </w:rPr>
        <w:t>De esta forma analizaremos las tensiones que emergen cuando se produce el cambio de escala de la soberanía subnacional a la escala federal. El análisis de la sanción de la ley de protección del ambiente glaciar y periglaciar evidencia que no necesariamente el pasaje a la escala federal implica en términos concretos un mayor grado cumplimiento de la ley ambiental en la escala subancional. Sino que está atravesado por una dinámica de conflicto abierto entre desarrollo económico y protección ambiental</w:t>
      </w:r>
      <w:r>
        <w:rPr>
          <w:rFonts w:ascii="Times New Roman" w:hAnsi="Times New Roman"/>
          <w:sz w:val="24"/>
          <w:szCs w:val="24"/>
        </w:rPr>
        <w:t xml:space="preserve"> y </w:t>
      </w:r>
      <w:r w:rsidRPr="008A2D83">
        <w:rPr>
          <w:rFonts w:ascii="Times New Roman" w:hAnsi="Times New Roman"/>
          <w:sz w:val="24"/>
          <w:szCs w:val="24"/>
        </w:rPr>
        <w:t xml:space="preserve">entre diferentes formas de comprender la soberanía sobre los recursos naturales a distintas escalas. </w:t>
      </w:r>
    </w:p>
    <w:p w:rsidR="006C2873" w:rsidRPr="008A2D83" w:rsidRDefault="006C2873" w:rsidP="004636E3">
      <w:pPr>
        <w:spacing w:after="0" w:line="240" w:lineRule="auto"/>
        <w:jc w:val="both"/>
        <w:rPr>
          <w:rFonts w:ascii="Times New Roman" w:hAnsi="Times New Roman"/>
          <w:sz w:val="24"/>
          <w:szCs w:val="24"/>
        </w:rPr>
      </w:pPr>
      <w:r>
        <w:rPr>
          <w:rFonts w:ascii="Times New Roman" w:hAnsi="Times New Roman"/>
          <w:sz w:val="24"/>
          <w:szCs w:val="24"/>
        </w:rPr>
        <w:tab/>
      </w:r>
      <w:r w:rsidRPr="008A2D83">
        <w:rPr>
          <w:rFonts w:ascii="Times New Roman" w:hAnsi="Times New Roman"/>
          <w:sz w:val="24"/>
          <w:szCs w:val="24"/>
        </w:rPr>
        <w:t>Previa a la sanción de la ley 26.639 existió un antecedente atravesado por una gran polémica.</w:t>
      </w:r>
      <w:r w:rsidR="00B02539">
        <w:rPr>
          <w:rFonts w:ascii="Times New Roman" w:hAnsi="Times New Roman"/>
          <w:sz w:val="24"/>
          <w:szCs w:val="24"/>
        </w:rPr>
        <w:t xml:space="preserve"> </w:t>
      </w:r>
      <w:r w:rsidRPr="008A2D83">
        <w:rPr>
          <w:rFonts w:ascii="Times New Roman" w:hAnsi="Times New Roman"/>
          <w:sz w:val="24"/>
          <w:szCs w:val="24"/>
        </w:rPr>
        <w:t xml:space="preserve">En octubre de 2007, la Cámara de Diputados aprobó un proyecto de de protección de glaciares sobre la base de los lineamientos establecidos en la </w:t>
      </w:r>
      <w:r>
        <w:rPr>
          <w:rFonts w:ascii="Times New Roman" w:hAnsi="Times New Roman"/>
          <w:sz w:val="24"/>
          <w:szCs w:val="24"/>
        </w:rPr>
        <w:t>Ley General de Ambiente (</w:t>
      </w:r>
      <w:r w:rsidRPr="008A2D83">
        <w:rPr>
          <w:rFonts w:ascii="Times New Roman" w:hAnsi="Times New Roman"/>
          <w:sz w:val="24"/>
          <w:szCs w:val="24"/>
        </w:rPr>
        <w:t>LGA</w:t>
      </w:r>
      <w:r>
        <w:rPr>
          <w:rFonts w:ascii="Times New Roman" w:hAnsi="Times New Roman"/>
          <w:sz w:val="24"/>
          <w:szCs w:val="24"/>
        </w:rPr>
        <w:t>)</w:t>
      </w:r>
      <w:r>
        <w:rPr>
          <w:rStyle w:val="Appeldenotedefin"/>
          <w:rFonts w:ascii="Times New Roman" w:hAnsi="Times New Roman"/>
          <w:sz w:val="24"/>
          <w:szCs w:val="24"/>
        </w:rPr>
        <w:endnoteReference w:id="6"/>
      </w:r>
      <w:r w:rsidR="00B02539">
        <w:rPr>
          <w:rFonts w:ascii="Times New Roman" w:hAnsi="Times New Roman"/>
          <w:sz w:val="24"/>
          <w:szCs w:val="24"/>
        </w:rPr>
        <w:t xml:space="preserve"> de la diputada Marta Maffei </w:t>
      </w:r>
      <w:r w:rsidRPr="008A2D83">
        <w:rPr>
          <w:rFonts w:ascii="Times New Roman" w:hAnsi="Times New Roman"/>
          <w:sz w:val="24"/>
          <w:szCs w:val="24"/>
        </w:rPr>
        <w:t xml:space="preserve">(ARI). El 22 de octubre del 2008 y con amplio apoyo del </w:t>
      </w:r>
      <w:r>
        <w:rPr>
          <w:rFonts w:ascii="Times New Roman" w:hAnsi="Times New Roman"/>
          <w:sz w:val="24"/>
          <w:szCs w:val="24"/>
        </w:rPr>
        <w:t xml:space="preserve">partido </w:t>
      </w:r>
      <w:r w:rsidRPr="008A2D83">
        <w:rPr>
          <w:rFonts w:ascii="Times New Roman" w:hAnsi="Times New Roman"/>
          <w:sz w:val="24"/>
          <w:szCs w:val="24"/>
        </w:rPr>
        <w:t xml:space="preserve">oficialista Frente Para la Victoria (FPV), el proyecto fue aprobado en forma unánime </w:t>
      </w:r>
      <w:r w:rsidR="00B02539">
        <w:rPr>
          <w:rFonts w:ascii="Times New Roman" w:hAnsi="Times New Roman"/>
          <w:sz w:val="24"/>
          <w:szCs w:val="24"/>
        </w:rPr>
        <w:t>en</w:t>
      </w:r>
      <w:r w:rsidRPr="008A2D83">
        <w:rPr>
          <w:rFonts w:ascii="Times New Roman" w:hAnsi="Times New Roman"/>
          <w:sz w:val="24"/>
          <w:szCs w:val="24"/>
        </w:rPr>
        <w:t xml:space="preserve"> Senadores y convertido en Ley N° 26418. Sin embargo, el 11 de noviembre la entonces presidenta Cristina Fernández de Kirchner (2007-2015) vetó totalmente la legislación ambiental referida a los glaciares por medio del Decreto Número 1837/2008.</w:t>
      </w:r>
    </w:p>
    <w:p w:rsidR="006C2873" w:rsidRPr="008A2D83" w:rsidRDefault="006C2873" w:rsidP="004636E3">
      <w:pPr>
        <w:spacing w:after="0" w:line="240" w:lineRule="auto"/>
        <w:jc w:val="both"/>
        <w:rPr>
          <w:rFonts w:ascii="Times New Roman" w:hAnsi="Times New Roman"/>
          <w:sz w:val="24"/>
          <w:szCs w:val="24"/>
        </w:rPr>
      </w:pPr>
      <w:r>
        <w:rPr>
          <w:rFonts w:ascii="Times New Roman" w:hAnsi="Times New Roman"/>
          <w:sz w:val="24"/>
          <w:szCs w:val="24"/>
        </w:rPr>
        <w:tab/>
      </w:r>
      <w:r w:rsidRPr="008A2D83">
        <w:rPr>
          <w:rFonts w:ascii="Times New Roman" w:hAnsi="Times New Roman"/>
          <w:sz w:val="24"/>
          <w:szCs w:val="24"/>
        </w:rPr>
        <w:t xml:space="preserve">La posición oficial argüía que ya </w:t>
      </w:r>
      <w:r w:rsidRPr="00BE5DE4">
        <w:rPr>
          <w:rFonts w:ascii="Times New Roman" w:hAnsi="Times New Roman"/>
          <w:sz w:val="24"/>
          <w:szCs w:val="24"/>
        </w:rPr>
        <w:t>existía</w:t>
      </w:r>
      <w:r w:rsidRPr="008A2D83">
        <w:rPr>
          <w:rFonts w:ascii="Times New Roman" w:hAnsi="Times New Roman"/>
          <w:sz w:val="24"/>
          <w:szCs w:val="24"/>
        </w:rPr>
        <w:t xml:space="preserve"> una legislación como la LGA y otras leyes ambientales previas tomadas por el gobier</w:t>
      </w:r>
      <w:r>
        <w:rPr>
          <w:rFonts w:ascii="Times New Roman" w:hAnsi="Times New Roman"/>
          <w:sz w:val="24"/>
          <w:szCs w:val="24"/>
        </w:rPr>
        <w:t xml:space="preserve">no </w:t>
      </w:r>
      <w:r w:rsidRPr="007E4FB9">
        <w:rPr>
          <w:rFonts w:ascii="Times New Roman" w:hAnsi="Times New Roman"/>
          <w:sz w:val="24"/>
          <w:szCs w:val="24"/>
        </w:rPr>
        <w:t>y en distintas provincias</w:t>
      </w:r>
      <w:r>
        <w:rPr>
          <w:rFonts w:ascii="Times New Roman" w:hAnsi="Times New Roman"/>
          <w:sz w:val="24"/>
          <w:szCs w:val="24"/>
        </w:rPr>
        <w:t>.</w:t>
      </w:r>
      <w:r w:rsidR="00F339B7">
        <w:rPr>
          <w:rFonts w:ascii="Times New Roman" w:hAnsi="Times New Roman"/>
          <w:sz w:val="24"/>
          <w:szCs w:val="24"/>
        </w:rPr>
        <w:t xml:space="preserve"> </w:t>
      </w:r>
      <w:r>
        <w:rPr>
          <w:rFonts w:ascii="Times New Roman" w:hAnsi="Times New Roman"/>
          <w:sz w:val="24"/>
          <w:szCs w:val="24"/>
        </w:rPr>
        <w:t>Sin embargo, desde la oposición</w:t>
      </w:r>
      <w:r w:rsidRPr="008A2D83">
        <w:rPr>
          <w:rFonts w:ascii="Times New Roman" w:hAnsi="Times New Roman"/>
          <w:sz w:val="24"/>
          <w:szCs w:val="24"/>
        </w:rPr>
        <w:t xml:space="preserve"> señalaron que la decisión presiden</w:t>
      </w:r>
      <w:r>
        <w:rPr>
          <w:rFonts w:ascii="Times New Roman" w:hAnsi="Times New Roman"/>
          <w:sz w:val="24"/>
          <w:szCs w:val="24"/>
        </w:rPr>
        <w:t>cial fue consecuencia de las</w:t>
      </w:r>
      <w:r w:rsidRPr="008A2D83">
        <w:rPr>
          <w:rFonts w:ascii="Times New Roman" w:hAnsi="Times New Roman"/>
          <w:sz w:val="24"/>
          <w:szCs w:val="24"/>
        </w:rPr>
        <w:t xml:space="preserve"> presiones de las provincias mineras, especialmente San Juan con el gobernador José Luis Gioja al frente, y la empresa minera canadiense Barrick Gold.</w:t>
      </w:r>
      <w:r w:rsidR="00370641">
        <w:rPr>
          <w:rFonts w:ascii="Times New Roman" w:hAnsi="Times New Roman"/>
          <w:sz w:val="24"/>
          <w:szCs w:val="24"/>
        </w:rPr>
        <w:t xml:space="preserve"> La</w:t>
      </w:r>
      <w:r w:rsidRPr="008A2D83">
        <w:rPr>
          <w:rFonts w:ascii="Times New Roman" w:hAnsi="Times New Roman"/>
          <w:sz w:val="24"/>
          <w:szCs w:val="24"/>
        </w:rPr>
        <w:t xml:space="preserve"> determinación gubernamental de vetar la ley fue conocida públicamente como el “veto de la Barrick</w:t>
      </w:r>
      <w:r w:rsidR="00370641">
        <w:rPr>
          <w:rFonts w:ascii="Times New Roman" w:hAnsi="Times New Roman"/>
          <w:sz w:val="24"/>
          <w:szCs w:val="24"/>
        </w:rPr>
        <w:t xml:space="preserve">” </w:t>
      </w:r>
      <w:r w:rsidR="00370641" w:rsidRPr="00370641">
        <w:rPr>
          <w:rFonts w:ascii="Times New Roman" w:hAnsi="Times New Roman"/>
          <w:sz w:val="24"/>
          <w:szCs w:val="24"/>
        </w:rPr>
        <w:t>Al respecto, el diputado Bonasso posteriormente declararía “Lo que está en discusión es el agua, y voy a revelar cómo fue el acuerdo con el senador Filmus para que la Cámara, los medios de comunicación y la opinión pública lo sepan. También tienen que conocer qué oscuras maquinaciones del lobby de la Barrick Gold están detrás de todas estas postergaciones, del veto y de esta discusión” (Debate parlamentario págs. 30-31).</w:t>
      </w:r>
      <w:r w:rsidRPr="008A2D83">
        <w:rPr>
          <w:rFonts w:ascii="Times New Roman" w:hAnsi="Times New Roman"/>
          <w:sz w:val="24"/>
          <w:szCs w:val="24"/>
        </w:rPr>
        <w:t xml:space="preserve"> </w:t>
      </w:r>
    </w:p>
    <w:p w:rsidR="006C2873" w:rsidRPr="008A2D83" w:rsidRDefault="006C2873" w:rsidP="004636E3">
      <w:pPr>
        <w:spacing w:after="0" w:line="240" w:lineRule="auto"/>
        <w:jc w:val="both"/>
        <w:rPr>
          <w:rFonts w:ascii="Times New Roman" w:hAnsi="Times New Roman"/>
          <w:sz w:val="24"/>
          <w:szCs w:val="24"/>
        </w:rPr>
      </w:pPr>
    </w:p>
    <w:p w:rsidR="006C2873" w:rsidRPr="008A2D83" w:rsidRDefault="006C2873" w:rsidP="004636E3">
      <w:pPr>
        <w:spacing w:after="0" w:line="240" w:lineRule="auto"/>
        <w:jc w:val="both"/>
        <w:rPr>
          <w:rFonts w:ascii="Times New Roman" w:hAnsi="Times New Roman"/>
          <w:b/>
          <w:sz w:val="24"/>
          <w:szCs w:val="24"/>
        </w:rPr>
      </w:pPr>
      <w:r w:rsidRPr="008A2D83">
        <w:rPr>
          <w:rFonts w:ascii="Times New Roman" w:hAnsi="Times New Roman"/>
          <w:b/>
          <w:sz w:val="24"/>
          <w:szCs w:val="24"/>
        </w:rPr>
        <w:t>Coalición de actores socioambientales: entre la acción directa y la acción institucional</w:t>
      </w:r>
    </w:p>
    <w:p w:rsidR="006C2873" w:rsidRPr="008A2D83" w:rsidRDefault="006C2873" w:rsidP="004636E3">
      <w:pPr>
        <w:spacing w:after="0" w:line="240" w:lineRule="auto"/>
        <w:jc w:val="both"/>
        <w:rPr>
          <w:rFonts w:ascii="Times New Roman" w:hAnsi="Times New Roman"/>
          <w:b/>
          <w:sz w:val="24"/>
          <w:szCs w:val="24"/>
        </w:rPr>
      </w:pPr>
    </w:p>
    <w:p w:rsidR="006C2873" w:rsidRPr="008A2D83" w:rsidRDefault="006C2873" w:rsidP="004636E3">
      <w:pPr>
        <w:spacing w:after="0" w:line="240" w:lineRule="auto"/>
        <w:jc w:val="both"/>
        <w:rPr>
          <w:rFonts w:ascii="Times New Roman" w:hAnsi="Times New Roman"/>
          <w:sz w:val="24"/>
          <w:szCs w:val="24"/>
        </w:rPr>
      </w:pPr>
      <w:r w:rsidRPr="008A2D83">
        <w:rPr>
          <w:rFonts w:ascii="Times New Roman" w:hAnsi="Times New Roman"/>
          <w:sz w:val="24"/>
          <w:szCs w:val="24"/>
        </w:rPr>
        <w:t>La</w:t>
      </w:r>
      <w:r>
        <w:rPr>
          <w:rFonts w:ascii="Times New Roman" w:hAnsi="Times New Roman"/>
          <w:sz w:val="24"/>
          <w:szCs w:val="24"/>
        </w:rPr>
        <w:t xml:space="preserve"> sanción de la primera Ley de G</w:t>
      </w:r>
      <w:r w:rsidRPr="008A2D83">
        <w:rPr>
          <w:rFonts w:ascii="Times New Roman" w:hAnsi="Times New Roman"/>
          <w:sz w:val="24"/>
          <w:szCs w:val="24"/>
        </w:rPr>
        <w:t>laciar</w:t>
      </w:r>
      <w:r>
        <w:rPr>
          <w:rFonts w:ascii="Times New Roman" w:hAnsi="Times New Roman"/>
          <w:sz w:val="24"/>
          <w:szCs w:val="24"/>
        </w:rPr>
        <w:t>es fue producto del desconocimien</w:t>
      </w:r>
      <w:r w:rsidR="007E4FB9">
        <w:rPr>
          <w:rFonts w:ascii="Times New Roman" w:hAnsi="Times New Roman"/>
          <w:sz w:val="24"/>
          <w:szCs w:val="24"/>
        </w:rPr>
        <w:t>to de los diputados oficialista</w:t>
      </w:r>
      <w:r>
        <w:rPr>
          <w:rStyle w:val="Appeldenotedefin"/>
          <w:rFonts w:ascii="Times New Roman" w:hAnsi="Times New Roman"/>
          <w:sz w:val="24"/>
          <w:szCs w:val="24"/>
        </w:rPr>
        <w:endnoteReference w:id="7"/>
      </w:r>
      <w:r w:rsidR="007E4FB9">
        <w:rPr>
          <w:rFonts w:ascii="Times New Roman" w:hAnsi="Times New Roman"/>
          <w:sz w:val="24"/>
          <w:szCs w:val="24"/>
        </w:rPr>
        <w:t xml:space="preserve">, </w:t>
      </w:r>
      <w:r>
        <w:rPr>
          <w:rFonts w:ascii="Times New Roman" w:hAnsi="Times New Roman"/>
          <w:sz w:val="24"/>
          <w:szCs w:val="24"/>
        </w:rPr>
        <w:t>transcurrió en un contexto</w:t>
      </w:r>
      <w:r w:rsidRPr="008A2D83">
        <w:rPr>
          <w:rFonts w:ascii="Times New Roman" w:hAnsi="Times New Roman"/>
          <w:sz w:val="24"/>
          <w:szCs w:val="24"/>
        </w:rPr>
        <w:t xml:space="preserve"> de negociaciones legislativas relativamente </w:t>
      </w:r>
      <w:r>
        <w:rPr>
          <w:rFonts w:ascii="Times New Roman" w:hAnsi="Times New Roman"/>
          <w:sz w:val="24"/>
          <w:szCs w:val="24"/>
        </w:rPr>
        <w:t>armoniosas, y no implicó ningún proceso de movilización amplio de</w:t>
      </w:r>
      <w:r w:rsidRPr="008A2D83">
        <w:rPr>
          <w:rFonts w:ascii="Times New Roman" w:hAnsi="Times New Roman"/>
          <w:sz w:val="24"/>
          <w:szCs w:val="24"/>
        </w:rPr>
        <w:t xml:space="preserve"> actores sociales. Luego del veto presidencial se reconfiguró el escenario, inaugurándose una nueva etapa en la discusión pública de la cuestión minera.</w:t>
      </w:r>
    </w:p>
    <w:p w:rsidR="006C2873" w:rsidRPr="006C2873" w:rsidRDefault="006C2873" w:rsidP="004636E3">
      <w:pPr>
        <w:spacing w:after="0" w:line="240" w:lineRule="auto"/>
        <w:jc w:val="both"/>
        <w:rPr>
          <w:rFonts w:ascii="Times New Roman" w:hAnsi="Times New Roman"/>
          <w:sz w:val="24"/>
          <w:szCs w:val="24"/>
          <w:highlight w:val="yellow"/>
        </w:rPr>
      </w:pPr>
      <w:r>
        <w:rPr>
          <w:rFonts w:ascii="Times New Roman" w:hAnsi="Times New Roman"/>
          <w:sz w:val="24"/>
          <w:szCs w:val="24"/>
        </w:rPr>
        <w:tab/>
      </w:r>
      <w:r w:rsidRPr="008A2D83">
        <w:rPr>
          <w:rFonts w:ascii="Times New Roman" w:hAnsi="Times New Roman"/>
          <w:sz w:val="24"/>
          <w:szCs w:val="24"/>
        </w:rPr>
        <w:t xml:space="preserve">El proceso legislativo que concluyó con la sanción de la ley 26.639 involucró una “multiplicidad de actores” comprometida en la restitución de </w:t>
      </w:r>
      <w:r w:rsidR="007E7A68">
        <w:rPr>
          <w:rFonts w:ascii="Times New Roman" w:hAnsi="Times New Roman"/>
          <w:sz w:val="24"/>
          <w:szCs w:val="24"/>
        </w:rPr>
        <w:t>p</w:t>
      </w:r>
      <w:r w:rsidRPr="008A2D83">
        <w:rPr>
          <w:rFonts w:ascii="Times New Roman" w:hAnsi="Times New Roman"/>
          <w:sz w:val="24"/>
          <w:szCs w:val="24"/>
        </w:rPr>
        <w:t xml:space="preserve">rotección de los glaciares en un nivel federal caracterizado por una dinámica agonística. </w:t>
      </w:r>
      <w:r w:rsidR="007E4FB9">
        <w:rPr>
          <w:rFonts w:ascii="Times New Roman" w:hAnsi="Times New Roman"/>
          <w:sz w:val="24"/>
          <w:szCs w:val="24"/>
        </w:rPr>
        <w:t>La articulación</w:t>
      </w:r>
      <w:r w:rsidRPr="007E4FB9">
        <w:rPr>
          <w:rFonts w:ascii="Times New Roman" w:hAnsi="Times New Roman"/>
          <w:sz w:val="24"/>
          <w:szCs w:val="24"/>
        </w:rPr>
        <w:t xml:space="preserve"> entre actores no gubernamentales, sociales y legislativos (intelectuales, asambleas ambientales, ONG ambientalistas, legisladores de ambas cámaras) se aprecian en dos instancias centrales: por un lado en los esfuerzos tendientes a darle respaldo social a la iniciativa y, por el otro lado, en los momentos propios del debate legislativo y la inclusión de diversos oradores a favor de la norma de glaciares.</w:t>
      </w:r>
    </w:p>
    <w:p w:rsidR="006C2873" w:rsidRPr="008A2D83" w:rsidRDefault="006C2873" w:rsidP="004636E3">
      <w:pPr>
        <w:spacing w:after="0" w:line="240" w:lineRule="auto"/>
        <w:jc w:val="both"/>
        <w:rPr>
          <w:rFonts w:ascii="Times New Roman" w:hAnsi="Times New Roman"/>
          <w:sz w:val="24"/>
          <w:szCs w:val="24"/>
        </w:rPr>
      </w:pPr>
      <w:r>
        <w:rPr>
          <w:rFonts w:ascii="Times New Roman" w:hAnsi="Times New Roman"/>
          <w:sz w:val="24"/>
          <w:szCs w:val="24"/>
        </w:rPr>
        <w:tab/>
      </w:r>
      <w:r w:rsidR="007E7A68">
        <w:rPr>
          <w:rFonts w:ascii="Times New Roman" w:hAnsi="Times New Roman"/>
          <w:sz w:val="24"/>
          <w:szCs w:val="24"/>
        </w:rPr>
        <w:t>La discusión sobre la</w:t>
      </w:r>
      <w:r w:rsidRPr="008A2D83">
        <w:rPr>
          <w:rFonts w:ascii="Times New Roman" w:hAnsi="Times New Roman"/>
          <w:sz w:val="24"/>
          <w:szCs w:val="24"/>
        </w:rPr>
        <w:t xml:space="preserve"> protección de glaciares posibilitó </w:t>
      </w:r>
      <w:r w:rsidR="007E7A68">
        <w:rPr>
          <w:rFonts w:ascii="Times New Roman" w:hAnsi="Times New Roman"/>
          <w:sz w:val="24"/>
          <w:szCs w:val="24"/>
        </w:rPr>
        <w:t>debatir</w:t>
      </w:r>
      <w:r w:rsidRPr="008A2D83">
        <w:rPr>
          <w:rFonts w:ascii="Times New Roman" w:hAnsi="Times New Roman"/>
          <w:sz w:val="24"/>
          <w:szCs w:val="24"/>
        </w:rPr>
        <w:t xml:space="preserve"> la cuestión minera a escala federal en la Argentina que hasta ese momento varias organizaciones ambientalistas encontraban bloqueada en la escala subnacional. A partir de la idea de soberanías en conflicto, le permitió a la coalición de actores socioambientales condicionar la dinámica de soberanías convergentes que prevalece en varias provincias mineras. </w:t>
      </w:r>
    </w:p>
    <w:p w:rsidR="006C2873" w:rsidRPr="008A2D83" w:rsidRDefault="006C2873" w:rsidP="004636E3">
      <w:pPr>
        <w:spacing w:after="0" w:line="240" w:lineRule="auto"/>
        <w:jc w:val="both"/>
        <w:rPr>
          <w:rFonts w:ascii="Times New Roman" w:hAnsi="Times New Roman"/>
          <w:sz w:val="24"/>
          <w:szCs w:val="24"/>
        </w:rPr>
      </w:pPr>
      <w:r>
        <w:rPr>
          <w:rFonts w:ascii="Times New Roman" w:hAnsi="Times New Roman"/>
          <w:sz w:val="24"/>
          <w:szCs w:val="24"/>
        </w:rPr>
        <w:tab/>
      </w:r>
      <w:r w:rsidRPr="008A2D83">
        <w:rPr>
          <w:rFonts w:ascii="Times New Roman" w:hAnsi="Times New Roman"/>
          <w:sz w:val="24"/>
          <w:szCs w:val="24"/>
        </w:rPr>
        <w:t>Luego del veto presidencial se multiplicaron las</w:t>
      </w:r>
      <w:r>
        <w:rPr>
          <w:rFonts w:ascii="Times New Roman" w:hAnsi="Times New Roman"/>
          <w:sz w:val="24"/>
          <w:szCs w:val="24"/>
        </w:rPr>
        <w:t xml:space="preserve"> acciones a favor de una nueva Ley de G</w:t>
      </w:r>
      <w:r w:rsidRPr="008A2D83">
        <w:rPr>
          <w:rFonts w:ascii="Times New Roman" w:hAnsi="Times New Roman"/>
          <w:sz w:val="24"/>
          <w:szCs w:val="24"/>
        </w:rPr>
        <w:t>laciares y tres estrategias centrales, complementaria</w:t>
      </w:r>
      <w:r w:rsidR="007E7A68">
        <w:rPr>
          <w:rFonts w:ascii="Times New Roman" w:hAnsi="Times New Roman"/>
          <w:sz w:val="24"/>
          <w:szCs w:val="24"/>
        </w:rPr>
        <w:t>mente</w:t>
      </w:r>
      <w:r w:rsidRPr="008A2D83">
        <w:rPr>
          <w:rFonts w:ascii="Times New Roman" w:hAnsi="Times New Roman"/>
          <w:sz w:val="24"/>
          <w:szCs w:val="24"/>
        </w:rPr>
        <w:t xml:space="preserve">, fueron incrementando la presión social. En primer lugar, un fuerte trabajo de difusión y denuncia de las distintas asambleas en varias provincias argentinas con un componente mayormente local. En segundo lugar, la recolección de más de 150.000 firmas </w:t>
      </w:r>
      <w:r>
        <w:rPr>
          <w:rFonts w:ascii="Times New Roman" w:hAnsi="Times New Roman"/>
          <w:sz w:val="24"/>
          <w:szCs w:val="24"/>
        </w:rPr>
        <w:t xml:space="preserve">a favor de una nueva </w:t>
      </w:r>
      <w:r w:rsidRPr="008A2D83">
        <w:rPr>
          <w:rFonts w:ascii="Times New Roman" w:hAnsi="Times New Roman"/>
          <w:sz w:val="24"/>
          <w:szCs w:val="24"/>
        </w:rPr>
        <w:t>aprobación de la ley que contó con la adhesión más de 100 organizaciones sociales y ambientales de todo el país y del exterior. En tercer lugar, el envío de cartas abiertas a la presidenta Fernández de Kircher y a los Diputados y Senadores Nacionales, entre las cuales se destacaron las del ex premio Nobel de la Paz Adol</w:t>
      </w:r>
      <w:r>
        <w:rPr>
          <w:rFonts w:ascii="Times New Roman" w:hAnsi="Times New Roman"/>
          <w:sz w:val="24"/>
          <w:szCs w:val="24"/>
        </w:rPr>
        <w:t>fo Pérez Esquivel y la que fue</w:t>
      </w:r>
      <w:r w:rsidRPr="008A2D83">
        <w:rPr>
          <w:rFonts w:ascii="Times New Roman" w:hAnsi="Times New Roman"/>
          <w:sz w:val="24"/>
          <w:szCs w:val="24"/>
        </w:rPr>
        <w:t xml:space="preserve"> enviada por un conjunto de organizaciones ambientalistas de carácter formal</w:t>
      </w:r>
      <w:r w:rsidRPr="008A2D83">
        <w:rPr>
          <w:rStyle w:val="Appeldenotedefin"/>
          <w:rFonts w:ascii="Times New Roman" w:hAnsi="Times New Roman"/>
          <w:sz w:val="24"/>
          <w:szCs w:val="24"/>
        </w:rPr>
        <w:endnoteReference w:id="8"/>
      </w:r>
      <w:r w:rsidRPr="008A2D83">
        <w:rPr>
          <w:rFonts w:ascii="Times New Roman" w:hAnsi="Times New Roman"/>
          <w:sz w:val="24"/>
          <w:szCs w:val="24"/>
        </w:rPr>
        <w:t xml:space="preserve">. </w:t>
      </w:r>
      <w:r w:rsidR="007E7A68">
        <w:rPr>
          <w:rFonts w:ascii="Times New Roman" w:hAnsi="Times New Roman"/>
          <w:sz w:val="24"/>
          <w:szCs w:val="24"/>
        </w:rPr>
        <w:t>Aquí, las</w:t>
      </w:r>
      <w:r w:rsidRPr="008A2D83">
        <w:rPr>
          <w:rFonts w:ascii="Times New Roman" w:hAnsi="Times New Roman"/>
          <w:sz w:val="24"/>
          <w:szCs w:val="24"/>
        </w:rPr>
        <w:t xml:space="preserve"> asambleas ambientales, mayormen</w:t>
      </w:r>
      <w:r>
        <w:rPr>
          <w:rFonts w:ascii="Times New Roman" w:hAnsi="Times New Roman"/>
          <w:sz w:val="24"/>
          <w:szCs w:val="24"/>
        </w:rPr>
        <w:t>te ligadas al trabajo local, compartieron</w:t>
      </w:r>
      <w:r w:rsidRPr="008A2D83">
        <w:rPr>
          <w:rFonts w:ascii="Times New Roman" w:hAnsi="Times New Roman"/>
          <w:sz w:val="24"/>
          <w:szCs w:val="24"/>
        </w:rPr>
        <w:t xml:space="preserve"> consign</w:t>
      </w:r>
      <w:r>
        <w:rPr>
          <w:rFonts w:ascii="Times New Roman" w:hAnsi="Times New Roman"/>
          <w:sz w:val="24"/>
          <w:szCs w:val="24"/>
        </w:rPr>
        <w:t>as y un objetivo central como</w:t>
      </w:r>
      <w:r w:rsidRPr="008A2D83">
        <w:rPr>
          <w:rFonts w:ascii="Times New Roman" w:hAnsi="Times New Roman"/>
          <w:sz w:val="24"/>
          <w:szCs w:val="24"/>
        </w:rPr>
        <w:t xml:space="preserve"> ONGS ambientales</w:t>
      </w:r>
      <w:r>
        <w:rPr>
          <w:rFonts w:ascii="Times New Roman" w:hAnsi="Times New Roman"/>
          <w:sz w:val="24"/>
          <w:szCs w:val="24"/>
        </w:rPr>
        <w:t xml:space="preserve"> como Greenpeace y</w:t>
      </w:r>
      <w:r w:rsidRPr="008A2D83">
        <w:rPr>
          <w:rFonts w:ascii="Times New Roman" w:hAnsi="Times New Roman"/>
          <w:sz w:val="24"/>
          <w:szCs w:val="24"/>
        </w:rPr>
        <w:t xml:space="preserve"> Fundación Argentina de Recursos Naturales</w:t>
      </w:r>
      <w:r>
        <w:rPr>
          <w:rFonts w:ascii="Times New Roman" w:hAnsi="Times New Roman"/>
          <w:sz w:val="24"/>
          <w:szCs w:val="24"/>
        </w:rPr>
        <w:t xml:space="preserve"> (FARN)</w:t>
      </w:r>
      <w:r w:rsidRPr="008A2D83">
        <w:rPr>
          <w:rFonts w:ascii="Times New Roman" w:hAnsi="Times New Roman"/>
          <w:sz w:val="24"/>
          <w:szCs w:val="24"/>
        </w:rPr>
        <w:t>, situación que favoreció la agregación de estos actores tras un objetivo compartido.</w:t>
      </w:r>
    </w:p>
    <w:p w:rsidR="006C2873" w:rsidRPr="008A2D83" w:rsidRDefault="006C2873" w:rsidP="004636E3">
      <w:pPr>
        <w:spacing w:after="0" w:line="240" w:lineRule="auto"/>
        <w:jc w:val="both"/>
        <w:rPr>
          <w:rFonts w:ascii="Times New Roman" w:hAnsi="Times New Roman"/>
          <w:sz w:val="24"/>
          <w:szCs w:val="24"/>
        </w:rPr>
      </w:pPr>
      <w:r>
        <w:rPr>
          <w:rFonts w:ascii="Times New Roman" w:hAnsi="Times New Roman"/>
          <w:sz w:val="24"/>
          <w:szCs w:val="24"/>
        </w:rPr>
        <w:tab/>
        <w:t>El canal legislativo tomó un</w:t>
      </w:r>
      <w:r w:rsidRPr="008A2D83">
        <w:rPr>
          <w:rFonts w:ascii="Times New Roman" w:hAnsi="Times New Roman"/>
          <w:sz w:val="24"/>
          <w:szCs w:val="24"/>
        </w:rPr>
        <w:t xml:space="preserve"> nuevo curso cuando, en diciembre de 2008, el diputado Miguel Bonasso (Diálogo por Buenos Aires), presentó un proyecto idéntico al de la diputada Maffei. Sin embargo, el principal foco de conflicto se dio a partir de la presentación, por parte del senador Filmus (FPV) en septiembre de 2009, de otro proyecto de protección de glaciares. A partir de aquel momento se produjo un enfrentamiento entre las llamadas “ley Filmus” y “ley Bonasso” dado que los defensores de esta última acusaban al proyecto avalado por el oficialismo de ser sumamente permisivo con la actividad minera. </w:t>
      </w:r>
    </w:p>
    <w:p w:rsidR="006C2873" w:rsidRPr="00BA32AE" w:rsidRDefault="006C2873" w:rsidP="004636E3">
      <w:pPr>
        <w:spacing w:after="0" w:line="240" w:lineRule="auto"/>
        <w:jc w:val="both"/>
        <w:rPr>
          <w:rFonts w:ascii="Times New Roman" w:hAnsi="Times New Roman"/>
          <w:sz w:val="24"/>
          <w:szCs w:val="24"/>
          <w:lang w:val="es-ES"/>
        </w:rPr>
      </w:pPr>
      <w:r>
        <w:rPr>
          <w:rFonts w:ascii="Times New Roman" w:hAnsi="Times New Roman"/>
          <w:sz w:val="24"/>
          <w:szCs w:val="24"/>
        </w:rPr>
        <w:tab/>
      </w:r>
      <w:r w:rsidRPr="008A2D83">
        <w:rPr>
          <w:rFonts w:ascii="Times New Roman" w:hAnsi="Times New Roman"/>
          <w:sz w:val="24"/>
          <w:szCs w:val="24"/>
        </w:rPr>
        <w:t xml:space="preserve">El segundo momento donde ha apreciado la pluralidad de actores ha sido en las instancias de debate legislativo, más precisamente en la Comisión de Ambiente y </w:t>
      </w:r>
      <w:r w:rsidRPr="007E4FB9">
        <w:rPr>
          <w:rFonts w:ascii="Times New Roman" w:hAnsi="Times New Roman"/>
          <w:sz w:val="24"/>
          <w:szCs w:val="24"/>
        </w:rPr>
        <w:t>Desarrollo Sustentable de la Cámara de Senadores. En los tramos finales del trámite legislativo fueron invitados a exponer sus posiciones diversos actores sociales, políticos y económicos. Durante el mes de septiembre de 2010, se conformó una amplia coalición de actores (representantes de ONG ambientales como Greenpeace y FARN, reconocidos académicos e investigadores sobre la problemática ambiental, militantes por los derechos humanos y representantes del movimiento socioambiental) que apoyaron la “Ley Bonasso”, y las medidas de protección ambiental en la referida comisión del Senado. Fruto de esta colaboración entre distintos actores conformaron un documento único</w:t>
      </w:r>
      <w:r w:rsidRPr="007E4FB9">
        <w:rPr>
          <w:rStyle w:val="Appeldenotedefin"/>
          <w:rFonts w:ascii="Times New Roman" w:hAnsi="Times New Roman"/>
          <w:sz w:val="24"/>
          <w:szCs w:val="24"/>
        </w:rPr>
        <w:endnoteReference w:id="9"/>
      </w:r>
      <w:r w:rsidRPr="007E4FB9">
        <w:rPr>
          <w:rFonts w:ascii="Times New Roman" w:hAnsi="Times New Roman"/>
          <w:sz w:val="24"/>
          <w:szCs w:val="24"/>
        </w:rPr>
        <w:t>, que luego se ampliaría y se convertiría en libro (</w:t>
      </w:r>
      <w:r w:rsidRPr="007E4FB9">
        <w:rPr>
          <w:rFonts w:ascii="Times New Roman" w:eastAsia="SimSun" w:hAnsi="Times New Roman"/>
          <w:kern w:val="1"/>
          <w:sz w:val="24"/>
          <w:szCs w:val="24"/>
          <w:lang w:val="es-ES" w:eastAsia="hi-IN" w:bidi="hi-IN"/>
        </w:rPr>
        <w:t xml:space="preserve">Aráoz </w:t>
      </w:r>
      <w:r w:rsidRPr="007E4FB9">
        <w:rPr>
          <w:rFonts w:ascii="Times New Roman" w:eastAsia="SimSun" w:hAnsi="Times New Roman"/>
          <w:i/>
          <w:kern w:val="1"/>
          <w:sz w:val="24"/>
          <w:szCs w:val="24"/>
          <w:lang w:val="es-ES" w:eastAsia="hi-IN" w:bidi="hi-IN"/>
        </w:rPr>
        <w:t>et al</w:t>
      </w:r>
      <w:r w:rsidRPr="007E4FB9">
        <w:rPr>
          <w:rFonts w:ascii="Times New Roman" w:eastAsia="SimSun" w:hAnsi="Times New Roman"/>
          <w:kern w:val="1"/>
          <w:sz w:val="24"/>
          <w:szCs w:val="24"/>
          <w:lang w:val="es-ES" w:eastAsia="hi-IN" w:bidi="hi-IN"/>
        </w:rPr>
        <w:t xml:space="preserve"> 2011), con el objetivo de articular las distintas posiciones frente a la megaminería y de persuasión a los senadores de los distintos partidos para aprobar la Ley.</w:t>
      </w:r>
    </w:p>
    <w:p w:rsidR="006C2873" w:rsidRPr="008A2D83" w:rsidRDefault="006C2873" w:rsidP="004636E3">
      <w:pPr>
        <w:spacing w:after="0" w:line="240" w:lineRule="auto"/>
        <w:jc w:val="both"/>
        <w:rPr>
          <w:rFonts w:ascii="Times New Roman" w:hAnsi="Times New Roman"/>
          <w:sz w:val="24"/>
          <w:szCs w:val="24"/>
        </w:rPr>
      </w:pPr>
      <w:r>
        <w:rPr>
          <w:rFonts w:ascii="Times New Roman" w:hAnsi="Times New Roman"/>
          <w:sz w:val="24"/>
          <w:szCs w:val="24"/>
        </w:rPr>
        <w:tab/>
      </w:r>
      <w:r w:rsidRPr="008A2D83">
        <w:rPr>
          <w:rFonts w:ascii="Times New Roman" w:hAnsi="Times New Roman"/>
          <w:sz w:val="24"/>
          <w:szCs w:val="24"/>
        </w:rPr>
        <w:t xml:space="preserve">Finalmente, y en un clima de tensión </w:t>
      </w:r>
      <w:r w:rsidR="00910A34">
        <w:rPr>
          <w:rFonts w:ascii="Times New Roman" w:hAnsi="Times New Roman"/>
          <w:sz w:val="24"/>
          <w:szCs w:val="24"/>
        </w:rPr>
        <w:t>social y política creciente, el</w:t>
      </w:r>
      <w:r w:rsidRPr="008A2D83">
        <w:rPr>
          <w:rFonts w:ascii="Times New Roman" w:hAnsi="Times New Roman"/>
          <w:sz w:val="24"/>
          <w:szCs w:val="24"/>
        </w:rPr>
        <w:t xml:space="preserve"> acuerdo entre los legisladores Filmus y Bonasso permitió unif</w:t>
      </w:r>
      <w:r w:rsidR="00370641">
        <w:rPr>
          <w:rFonts w:ascii="Times New Roman" w:hAnsi="Times New Roman"/>
          <w:sz w:val="24"/>
          <w:szCs w:val="24"/>
        </w:rPr>
        <w:t xml:space="preserve">icar el proyecto de este último al </w:t>
      </w:r>
      <w:r w:rsidR="00370641" w:rsidRPr="00370641">
        <w:rPr>
          <w:rFonts w:ascii="Times New Roman" w:hAnsi="Times New Roman"/>
          <w:sz w:val="24"/>
          <w:szCs w:val="24"/>
        </w:rPr>
        <w:t>incluir una nueva definición de ambiente periglaciar, modificar los tiempos de inicio del inventario nacional de glaciares y periglaciares y permitir la continuación de actividades antrópicas durante la realización de dicho inventario.</w:t>
      </w:r>
      <w:r w:rsidRPr="008A2D83">
        <w:rPr>
          <w:rFonts w:ascii="Times New Roman" w:hAnsi="Times New Roman"/>
          <w:sz w:val="24"/>
          <w:szCs w:val="24"/>
        </w:rPr>
        <w:t xml:space="preserve"> Luego de una extensa sesión legislativa, que finalizó cerca de las 4:30 hs. de la mañana del jueves 30 de septiembre de 2010 los senadores aprobaron con 35 votos el proyecto de Ley conocido como “Filmus–Bonasso” (Ley 26.639)</w:t>
      </w:r>
      <w:r w:rsidRPr="008A2D83">
        <w:rPr>
          <w:rStyle w:val="Appeldenotedefin"/>
          <w:rFonts w:ascii="Times New Roman" w:hAnsi="Times New Roman"/>
          <w:sz w:val="24"/>
          <w:szCs w:val="24"/>
        </w:rPr>
        <w:endnoteReference w:id="10"/>
      </w:r>
      <w:r w:rsidRPr="008A2D83">
        <w:rPr>
          <w:rFonts w:ascii="Times New Roman" w:hAnsi="Times New Roman"/>
          <w:sz w:val="24"/>
          <w:szCs w:val="24"/>
        </w:rPr>
        <w:t xml:space="preserve"> por sobre el proyecto original del Senado que obtuvo 33 votos </w:t>
      </w:r>
      <w:r w:rsidRPr="00312CFE">
        <w:rPr>
          <w:rFonts w:ascii="Times New Roman" w:hAnsi="Times New Roman"/>
          <w:sz w:val="24"/>
          <w:szCs w:val="24"/>
        </w:rPr>
        <w:t>(Di Paola, Pedace, Vilallonga, 2011).</w:t>
      </w:r>
    </w:p>
    <w:p w:rsidR="006C2873" w:rsidRPr="008A2D83" w:rsidRDefault="006C2873" w:rsidP="004636E3">
      <w:pPr>
        <w:spacing w:after="0" w:line="240" w:lineRule="auto"/>
        <w:jc w:val="both"/>
        <w:rPr>
          <w:rFonts w:ascii="Times New Roman" w:hAnsi="Times New Roman"/>
          <w:sz w:val="24"/>
          <w:szCs w:val="24"/>
        </w:rPr>
      </w:pPr>
      <w:r>
        <w:rPr>
          <w:rFonts w:ascii="Times New Roman" w:hAnsi="Times New Roman"/>
          <w:sz w:val="24"/>
          <w:szCs w:val="24"/>
        </w:rPr>
        <w:tab/>
      </w:r>
      <w:r w:rsidRPr="008A2D83">
        <w:rPr>
          <w:rFonts w:ascii="Times New Roman" w:hAnsi="Times New Roman"/>
          <w:sz w:val="24"/>
          <w:szCs w:val="24"/>
        </w:rPr>
        <w:t>El trabajo articulado que llevaron adelante asambleas ciudadanas y organizaciones de la sociedad civil para defender sus territorios y restablecer la ley vetada fue crucial para la aprobación de la legislación de glaciares. Durante sus alocuciones algunos de los representantes ilustr</w:t>
      </w:r>
      <w:r>
        <w:rPr>
          <w:rFonts w:ascii="Times New Roman" w:hAnsi="Times New Roman"/>
          <w:sz w:val="24"/>
          <w:szCs w:val="24"/>
        </w:rPr>
        <w:t>aron este hecho de esta forma</w:t>
      </w:r>
      <w:r w:rsidRPr="008A2D83">
        <w:rPr>
          <w:rFonts w:ascii="Times New Roman" w:hAnsi="Times New Roman"/>
          <w:sz w:val="24"/>
          <w:szCs w:val="24"/>
        </w:rPr>
        <w:t>:</w:t>
      </w:r>
    </w:p>
    <w:p w:rsidR="006C2873" w:rsidRPr="008A2D83" w:rsidRDefault="006C2873" w:rsidP="004636E3">
      <w:pPr>
        <w:spacing w:after="0" w:line="240" w:lineRule="auto"/>
        <w:jc w:val="both"/>
        <w:rPr>
          <w:rFonts w:ascii="Times New Roman" w:hAnsi="Times New Roman"/>
          <w:sz w:val="24"/>
          <w:szCs w:val="24"/>
        </w:rPr>
      </w:pPr>
    </w:p>
    <w:p w:rsidR="006C2873" w:rsidRPr="00FA55B0" w:rsidRDefault="006C2873" w:rsidP="004636E3">
      <w:pPr>
        <w:autoSpaceDE w:val="0"/>
        <w:autoSpaceDN w:val="0"/>
        <w:adjustRightInd w:val="0"/>
        <w:spacing w:after="0" w:line="240" w:lineRule="auto"/>
        <w:ind w:right="567"/>
        <w:jc w:val="both"/>
        <w:rPr>
          <w:rFonts w:ascii="Times New Roman" w:hAnsi="Times New Roman"/>
          <w:lang w:val="es-ES"/>
        </w:rPr>
      </w:pPr>
      <w:r w:rsidRPr="00FA55B0">
        <w:rPr>
          <w:rFonts w:ascii="Times New Roman" w:hAnsi="Times New Roman"/>
        </w:rPr>
        <w:t xml:space="preserve">“Por sobre todas las cosas, la conquista ha tenido que ver con esta lucha. Sería arrogarse demasiado decir que fue sólo nuestra fuerza. Esto ha tenido que ver con la lucha de las asambleas ciudadanas y de los intelectuales, como Pérez Esquivel, Norma Giarracca o Maristella Svampa. También con las personas que todas las mañanas se encuentran con esas montañas y no quieren que se las destruyan ni entregar su agua. Que hoy discutamos esta iniciativa tiene que ver con la lucha que están dando todas y cada una de las personas en nuestro país, y esto es lo que debemos festejar” </w:t>
      </w:r>
      <w:r w:rsidRPr="00FA55B0">
        <w:rPr>
          <w:rFonts w:ascii="Times New Roman" w:hAnsi="Times New Roman"/>
          <w:lang w:val="es-ES"/>
        </w:rPr>
        <w:t>“(Fernanda Reyes, Coalición Cívica, CABA. Honorable Cámara de Diputados de la Nación, 2010. p. 53).</w:t>
      </w:r>
    </w:p>
    <w:p w:rsidR="006C2873" w:rsidRPr="00FA55B0" w:rsidRDefault="006C2873" w:rsidP="004636E3">
      <w:pPr>
        <w:spacing w:after="0" w:line="240" w:lineRule="auto"/>
        <w:ind w:right="567"/>
        <w:jc w:val="both"/>
        <w:rPr>
          <w:rFonts w:ascii="Times New Roman" w:hAnsi="Times New Roman"/>
        </w:rPr>
      </w:pPr>
    </w:p>
    <w:p w:rsidR="006C2873" w:rsidRPr="00FA55B0" w:rsidRDefault="006C2873" w:rsidP="004636E3">
      <w:pPr>
        <w:spacing w:after="0" w:line="240" w:lineRule="auto"/>
        <w:ind w:right="567"/>
        <w:jc w:val="both"/>
        <w:rPr>
          <w:rFonts w:ascii="Times New Roman" w:hAnsi="Times New Roman"/>
        </w:rPr>
      </w:pPr>
      <w:r w:rsidRPr="00FA55B0">
        <w:rPr>
          <w:rFonts w:ascii="Times New Roman" w:hAnsi="Times New Roman"/>
        </w:rPr>
        <w:t xml:space="preserve">“Estamos ante una situación de extremo peligro que pone en riesgo esta fuente extraordinaria de agua que son los glaciares. Tendríamos que rendir homenaje a las asambleas ciudadanas porque han creado desde las provincias, por primera vez en nuestro país, una conciencia ambientalista que antes no existía. Si hoy estamos discutiendo esta ley es porque ha sido empujada desde esas movilizaciones </w:t>
      </w:r>
      <w:r w:rsidRPr="00FA55B0">
        <w:rPr>
          <w:rFonts w:ascii="Times New Roman" w:hAnsi="Times New Roman"/>
          <w:lang w:val="es-ES"/>
        </w:rPr>
        <w:t>(F. Solanas, Proyecto Sur, CABA. Honorable Cámara de Diputados de la Nación, 2010, p. 64).</w:t>
      </w:r>
    </w:p>
    <w:p w:rsidR="006C2873" w:rsidRPr="00FA55B0" w:rsidRDefault="006C2873" w:rsidP="004636E3">
      <w:pPr>
        <w:spacing w:after="0" w:line="240" w:lineRule="auto"/>
        <w:ind w:right="567"/>
        <w:jc w:val="both"/>
        <w:rPr>
          <w:rFonts w:ascii="Times New Roman" w:hAnsi="Times New Roman"/>
        </w:rPr>
      </w:pPr>
    </w:p>
    <w:p w:rsidR="006C2873" w:rsidRDefault="006C2873" w:rsidP="004636E3">
      <w:pPr>
        <w:spacing w:after="0" w:line="240" w:lineRule="auto"/>
        <w:ind w:right="567"/>
        <w:jc w:val="both"/>
        <w:rPr>
          <w:rFonts w:ascii="Times New Roman" w:hAnsi="Times New Roman"/>
          <w:lang w:val="es-ES"/>
        </w:rPr>
      </w:pPr>
      <w:r w:rsidRPr="00FA55B0">
        <w:rPr>
          <w:rFonts w:ascii="Times New Roman" w:hAnsi="Times New Roman"/>
        </w:rPr>
        <w:t xml:space="preserve">“Por otra parte, me parece muy importante saludar lo que se concreta hoy en el plano institucional porque es la tarea de muchísimo tiempo, de muchas organizaciones ambientales, de asambleas que recorren a lo largo y a lo ancho el país dando este tipo de discusión que hoy se corona institucionalmente reconociendo el trabajo de compañeros y compañeras como Marta Maffei y Miguel Bonasso” </w:t>
      </w:r>
      <w:r w:rsidRPr="00FA55B0">
        <w:rPr>
          <w:rFonts w:ascii="Times New Roman" w:hAnsi="Times New Roman"/>
          <w:lang w:val="es-ES"/>
        </w:rPr>
        <w:t>(C. Lozano, Proyecto Sur CABA, Honorable Cámara de Diputados de la Nación, 2010 p. 86).</w:t>
      </w:r>
    </w:p>
    <w:p w:rsidR="006C2873" w:rsidRPr="00FA55B0" w:rsidRDefault="006C2873" w:rsidP="004636E3">
      <w:pPr>
        <w:spacing w:after="0" w:line="240" w:lineRule="auto"/>
        <w:ind w:right="567"/>
        <w:jc w:val="both"/>
        <w:rPr>
          <w:rFonts w:ascii="Times New Roman" w:hAnsi="Times New Roman"/>
        </w:rPr>
      </w:pPr>
    </w:p>
    <w:p w:rsidR="006C2873" w:rsidRDefault="006C2873" w:rsidP="004636E3">
      <w:pPr>
        <w:spacing w:after="0" w:line="240" w:lineRule="auto"/>
        <w:ind w:right="567"/>
        <w:jc w:val="both"/>
        <w:rPr>
          <w:rFonts w:ascii="Times New Roman" w:hAnsi="Times New Roman"/>
          <w:b/>
          <w:sz w:val="24"/>
          <w:szCs w:val="24"/>
        </w:rPr>
      </w:pPr>
      <w:r w:rsidRPr="00BA32AE">
        <w:rPr>
          <w:rFonts w:ascii="Times New Roman" w:hAnsi="Times New Roman"/>
          <w:b/>
          <w:sz w:val="24"/>
          <w:szCs w:val="24"/>
        </w:rPr>
        <w:t>La afirmación de la soberanía subnacional y la Ley de Glaciares</w:t>
      </w:r>
    </w:p>
    <w:p w:rsidR="006C2873" w:rsidRPr="00BA32AE" w:rsidRDefault="006C2873" w:rsidP="004636E3">
      <w:pPr>
        <w:spacing w:after="0" w:line="240" w:lineRule="auto"/>
        <w:ind w:right="567"/>
        <w:jc w:val="both"/>
        <w:rPr>
          <w:rFonts w:ascii="Times New Roman" w:hAnsi="Times New Roman"/>
          <w:b/>
          <w:sz w:val="24"/>
          <w:szCs w:val="24"/>
        </w:rPr>
      </w:pPr>
    </w:p>
    <w:p w:rsidR="006C2873" w:rsidRDefault="006C2873" w:rsidP="004636E3">
      <w:pPr>
        <w:spacing w:after="0" w:line="240" w:lineRule="auto"/>
        <w:jc w:val="both"/>
        <w:rPr>
          <w:rFonts w:ascii="Times New Roman" w:hAnsi="Times New Roman"/>
          <w:sz w:val="24"/>
          <w:szCs w:val="24"/>
        </w:rPr>
      </w:pPr>
      <w:r w:rsidRPr="007E4FB9">
        <w:rPr>
          <w:rFonts w:ascii="Times New Roman" w:hAnsi="Times New Roman"/>
          <w:sz w:val="24"/>
          <w:szCs w:val="24"/>
        </w:rPr>
        <w:t>La discusión por la Ley de Glaciares coloca en evidencia la tensión entre las soberanías subnacionales y la soberanía nacional con respecto de quién constituye la autoridad legítima para decidir sobre el manejo de los recursos naturales.</w:t>
      </w:r>
      <w:r w:rsidR="007E7A68">
        <w:rPr>
          <w:rFonts w:ascii="Times New Roman" w:hAnsi="Times New Roman"/>
          <w:sz w:val="24"/>
          <w:szCs w:val="24"/>
        </w:rPr>
        <w:t xml:space="preserve"> El apoyo explícito al proyecto </w:t>
      </w:r>
      <w:r w:rsidRPr="008A2D83">
        <w:rPr>
          <w:rFonts w:ascii="Times New Roman" w:hAnsi="Times New Roman"/>
          <w:sz w:val="24"/>
          <w:szCs w:val="24"/>
        </w:rPr>
        <w:t xml:space="preserve">de Filmus por parte de los </w:t>
      </w:r>
      <w:r w:rsidRPr="007E4FB9">
        <w:rPr>
          <w:rFonts w:ascii="Times New Roman" w:hAnsi="Times New Roman"/>
          <w:sz w:val="24"/>
          <w:szCs w:val="24"/>
        </w:rPr>
        <w:t xml:space="preserve">representantes </w:t>
      </w:r>
      <w:r w:rsidR="007E4FB9" w:rsidRPr="007E4FB9">
        <w:rPr>
          <w:rFonts w:ascii="Times New Roman" w:hAnsi="Times New Roman"/>
          <w:sz w:val="24"/>
          <w:szCs w:val="24"/>
        </w:rPr>
        <w:t>de</w:t>
      </w:r>
      <w:r w:rsidRPr="007E4FB9">
        <w:rPr>
          <w:rFonts w:ascii="Times New Roman" w:hAnsi="Times New Roman"/>
          <w:sz w:val="24"/>
          <w:szCs w:val="24"/>
        </w:rPr>
        <w:t xml:space="preserve"> las provincias mineras</w:t>
      </w:r>
      <w:r w:rsidR="007E7A68" w:rsidRPr="007E4FB9">
        <w:rPr>
          <w:rFonts w:ascii="Times New Roman" w:hAnsi="Times New Roman"/>
          <w:sz w:val="24"/>
          <w:szCs w:val="24"/>
        </w:rPr>
        <w:t xml:space="preserve"> </w:t>
      </w:r>
      <w:r w:rsidRPr="007E4FB9">
        <w:rPr>
          <w:rFonts w:ascii="Times New Roman" w:hAnsi="Times New Roman"/>
          <w:sz w:val="24"/>
          <w:szCs w:val="24"/>
        </w:rPr>
        <w:t>(San Juan, La Rioja, Santa Cruz, Catamarca, entre otras) más allá de sostener una defensa férrea de la actividad minera, se basó en la afirmación de la soberanía subnacional (dominio originario) sobre los recursos naturales que le otorga la CN (Art.124) y denunciar el avance de la soberanía nacional sobre las soberanías subnacionales.</w:t>
      </w:r>
    </w:p>
    <w:p w:rsidR="006C2873" w:rsidRDefault="006C2873" w:rsidP="004636E3">
      <w:pPr>
        <w:spacing w:after="0" w:line="240" w:lineRule="auto"/>
        <w:jc w:val="both"/>
        <w:rPr>
          <w:rFonts w:ascii="Times New Roman" w:hAnsi="Times New Roman"/>
          <w:sz w:val="24"/>
          <w:szCs w:val="24"/>
        </w:rPr>
      </w:pPr>
    </w:p>
    <w:p w:rsidR="006C2873" w:rsidRPr="00FA55B0" w:rsidRDefault="006C2873" w:rsidP="00BA32AE">
      <w:pPr>
        <w:spacing w:after="0" w:line="240" w:lineRule="auto"/>
        <w:ind w:right="567"/>
        <w:jc w:val="both"/>
        <w:rPr>
          <w:rFonts w:ascii="Times New Roman" w:hAnsi="Times New Roman"/>
          <w:lang w:val="es-ES"/>
        </w:rPr>
      </w:pPr>
      <w:r>
        <w:rPr>
          <w:rFonts w:ascii="Times New Roman" w:hAnsi="Times New Roman"/>
        </w:rPr>
        <w:t>“</w:t>
      </w:r>
      <w:r w:rsidRPr="00FA55B0">
        <w:rPr>
          <w:rFonts w:ascii="Times New Roman" w:hAnsi="Times New Roman"/>
        </w:rPr>
        <w:t>Las provincias cordilleranas tenemos una enorme posibilidad, seguramente somos de las diez o doce naciones del mundo que tienen una potencialidad enorme con la minería. Y ahora resulta que no podemos desarrollarla. Porque en el fondo es eso. Nos castigan por todos lados. La historia nos ha castigado. Ahora todo es el tema de la minería. ¿No podemos establecer, como dice la Constitución sabiamente, los presupuestos mínimos y que las provincias determinen? Ahora, so pretexto del medioambiente también se quieren limitar las potestades propias de las provincias que están en la Constitución. Los recursos naturales son de las provincias</w:t>
      </w:r>
      <w:r>
        <w:rPr>
          <w:rFonts w:ascii="Times New Roman" w:hAnsi="Times New Roman"/>
        </w:rPr>
        <w:t>”</w:t>
      </w:r>
      <w:r w:rsidRPr="00FA55B0">
        <w:rPr>
          <w:rFonts w:ascii="Times New Roman" w:hAnsi="Times New Roman"/>
          <w:lang w:val="es-ES"/>
        </w:rPr>
        <w:t>(Gob</w:t>
      </w:r>
      <w:r>
        <w:rPr>
          <w:rFonts w:ascii="Times New Roman" w:hAnsi="Times New Roman"/>
          <w:lang w:val="es-ES"/>
        </w:rPr>
        <w:t xml:space="preserve">ernador </w:t>
      </w:r>
      <w:r w:rsidRPr="00FA55B0">
        <w:rPr>
          <w:rFonts w:ascii="Times New Roman" w:hAnsi="Times New Roman"/>
          <w:lang w:val="es-ES"/>
        </w:rPr>
        <w:t>Beder Herrera La Rioja, Honorable Cámara de Senadores de la Nación, 2010 p. 8)</w:t>
      </w:r>
    </w:p>
    <w:p w:rsidR="006C2873" w:rsidRPr="00FA55B0" w:rsidRDefault="006C2873" w:rsidP="00BA32AE">
      <w:pPr>
        <w:spacing w:after="0" w:line="240" w:lineRule="auto"/>
        <w:ind w:right="567"/>
        <w:jc w:val="both"/>
        <w:rPr>
          <w:rFonts w:ascii="Times New Roman" w:hAnsi="Times New Roman"/>
        </w:rPr>
      </w:pPr>
    </w:p>
    <w:p w:rsidR="006C2873" w:rsidRPr="00FA55B0" w:rsidRDefault="006C2873" w:rsidP="00BA32AE">
      <w:pPr>
        <w:spacing w:after="0" w:line="240" w:lineRule="auto"/>
        <w:ind w:right="567"/>
        <w:jc w:val="both"/>
        <w:rPr>
          <w:rFonts w:ascii="Times New Roman" w:hAnsi="Times New Roman"/>
          <w:lang w:val="es-ES"/>
        </w:rPr>
      </w:pPr>
      <w:r w:rsidRPr="00FA55B0">
        <w:rPr>
          <w:rFonts w:ascii="Times New Roman" w:hAnsi="Times New Roman"/>
        </w:rPr>
        <w:t xml:space="preserve">“No voy a acompañar proyecto alguno que signifique atentar contra las autonomías y potestades de las provincias en el manejo de sus recursos naturales e impedir su progreso” </w:t>
      </w:r>
      <w:r w:rsidRPr="00FA55B0">
        <w:rPr>
          <w:rFonts w:ascii="Times New Roman" w:hAnsi="Times New Roman"/>
          <w:lang w:val="es-ES"/>
        </w:rPr>
        <w:t>(DipVeaute Catamarca, UCR, Honorable Cámara de Diputados de la Nación, 2010 p. 89)</w:t>
      </w:r>
    </w:p>
    <w:p w:rsidR="006C2873" w:rsidRPr="00BA32AE" w:rsidRDefault="006C2873" w:rsidP="004636E3">
      <w:pPr>
        <w:spacing w:after="0" w:line="240" w:lineRule="auto"/>
        <w:jc w:val="both"/>
        <w:rPr>
          <w:rFonts w:ascii="Times New Roman" w:hAnsi="Times New Roman"/>
          <w:sz w:val="24"/>
          <w:szCs w:val="24"/>
          <w:highlight w:val="yellow"/>
        </w:rPr>
      </w:pPr>
    </w:p>
    <w:p w:rsidR="006C2873" w:rsidRDefault="006C2873" w:rsidP="004636E3">
      <w:pPr>
        <w:spacing w:after="0" w:line="240" w:lineRule="auto"/>
        <w:jc w:val="both"/>
        <w:rPr>
          <w:rFonts w:ascii="Times New Roman" w:hAnsi="Times New Roman"/>
          <w:sz w:val="24"/>
          <w:szCs w:val="24"/>
        </w:rPr>
      </w:pPr>
      <w:r>
        <w:rPr>
          <w:rFonts w:ascii="Times New Roman" w:hAnsi="Times New Roman"/>
          <w:sz w:val="24"/>
          <w:szCs w:val="24"/>
        </w:rPr>
        <w:tab/>
      </w:r>
      <w:r w:rsidRPr="008A2D83">
        <w:rPr>
          <w:rFonts w:ascii="Times New Roman" w:hAnsi="Times New Roman"/>
          <w:sz w:val="24"/>
          <w:szCs w:val="24"/>
        </w:rPr>
        <w:t xml:space="preserve">Por el contrario, los defensores del proyecto </w:t>
      </w:r>
      <w:r>
        <w:rPr>
          <w:rFonts w:ascii="Times New Roman" w:hAnsi="Times New Roman"/>
          <w:sz w:val="24"/>
          <w:szCs w:val="24"/>
        </w:rPr>
        <w:t>de diputado Bonasso</w:t>
      </w:r>
      <w:r w:rsidRPr="008A2D83">
        <w:rPr>
          <w:rFonts w:ascii="Times New Roman" w:hAnsi="Times New Roman"/>
          <w:sz w:val="24"/>
          <w:szCs w:val="24"/>
        </w:rPr>
        <w:t xml:space="preserve"> sostuvieron su posición sobre la base del</w:t>
      </w:r>
      <w:r w:rsidR="007E7A68">
        <w:rPr>
          <w:rFonts w:ascii="Times New Roman" w:hAnsi="Times New Roman"/>
          <w:sz w:val="24"/>
          <w:szCs w:val="24"/>
        </w:rPr>
        <w:t xml:space="preserve"> artículo 41(</w:t>
      </w:r>
      <w:r>
        <w:rPr>
          <w:rFonts w:ascii="Times New Roman" w:hAnsi="Times New Roman"/>
          <w:sz w:val="24"/>
          <w:szCs w:val="24"/>
        </w:rPr>
        <w:t>CN</w:t>
      </w:r>
      <w:r w:rsidR="007E7A68">
        <w:rPr>
          <w:rFonts w:ascii="Times New Roman" w:hAnsi="Times New Roman"/>
          <w:sz w:val="24"/>
          <w:szCs w:val="24"/>
        </w:rPr>
        <w:t xml:space="preserve">) </w:t>
      </w:r>
      <w:r w:rsidRPr="008A2D83">
        <w:rPr>
          <w:rFonts w:ascii="Times New Roman" w:hAnsi="Times New Roman"/>
          <w:sz w:val="24"/>
          <w:szCs w:val="24"/>
        </w:rPr>
        <w:t>construy</w:t>
      </w:r>
      <w:r w:rsidR="007E7A68">
        <w:rPr>
          <w:rFonts w:ascii="Times New Roman" w:hAnsi="Times New Roman"/>
          <w:sz w:val="24"/>
          <w:szCs w:val="24"/>
        </w:rPr>
        <w:t>endo</w:t>
      </w:r>
      <w:r w:rsidRPr="008A2D83">
        <w:rPr>
          <w:rFonts w:ascii="Times New Roman" w:hAnsi="Times New Roman"/>
          <w:sz w:val="24"/>
          <w:szCs w:val="24"/>
        </w:rPr>
        <w:t xml:space="preserve"> una estrategia argumentativa</w:t>
      </w:r>
      <w:r>
        <w:rPr>
          <w:rFonts w:ascii="Times New Roman" w:hAnsi="Times New Roman"/>
          <w:sz w:val="24"/>
          <w:szCs w:val="24"/>
        </w:rPr>
        <w:t xml:space="preserve"> que ponderaba </w:t>
      </w:r>
      <w:r w:rsidRPr="008A2D83">
        <w:rPr>
          <w:rFonts w:ascii="Times New Roman" w:hAnsi="Times New Roman"/>
          <w:sz w:val="24"/>
          <w:szCs w:val="24"/>
        </w:rPr>
        <w:t>l</w:t>
      </w:r>
      <w:r>
        <w:rPr>
          <w:rFonts w:ascii="Times New Roman" w:hAnsi="Times New Roman"/>
          <w:sz w:val="24"/>
          <w:szCs w:val="24"/>
        </w:rPr>
        <w:t>a defensa del</w:t>
      </w:r>
      <w:r w:rsidRPr="008A2D83">
        <w:rPr>
          <w:rFonts w:ascii="Times New Roman" w:hAnsi="Times New Roman"/>
          <w:sz w:val="24"/>
          <w:szCs w:val="24"/>
        </w:rPr>
        <w:t xml:space="preserve"> agua como un derecho humano </w:t>
      </w:r>
      <w:r w:rsidR="007E7A68">
        <w:rPr>
          <w:rFonts w:ascii="Times New Roman" w:hAnsi="Times New Roman"/>
          <w:sz w:val="24"/>
          <w:szCs w:val="24"/>
        </w:rPr>
        <w:t>y el</w:t>
      </w:r>
      <w:r w:rsidRPr="008A2D83">
        <w:rPr>
          <w:rFonts w:ascii="Times New Roman" w:hAnsi="Times New Roman"/>
          <w:sz w:val="24"/>
          <w:szCs w:val="24"/>
        </w:rPr>
        <w:t xml:space="preserve"> derecho </w:t>
      </w:r>
      <w:r>
        <w:rPr>
          <w:rFonts w:ascii="Times New Roman" w:hAnsi="Times New Roman"/>
          <w:sz w:val="24"/>
          <w:szCs w:val="24"/>
        </w:rPr>
        <w:t xml:space="preserve">constitucional a gozar de un ambiente </w:t>
      </w:r>
      <w:r w:rsidR="007E7A68">
        <w:rPr>
          <w:rFonts w:ascii="Times New Roman" w:hAnsi="Times New Roman"/>
          <w:sz w:val="24"/>
          <w:szCs w:val="24"/>
        </w:rPr>
        <w:t>saludable:</w:t>
      </w:r>
    </w:p>
    <w:p w:rsidR="006C2873" w:rsidRPr="00FA55B0" w:rsidRDefault="006C2873" w:rsidP="004636E3">
      <w:pPr>
        <w:spacing w:after="0" w:line="240" w:lineRule="auto"/>
        <w:ind w:right="567"/>
        <w:jc w:val="both"/>
        <w:rPr>
          <w:rFonts w:ascii="Times New Roman" w:hAnsi="Times New Roman"/>
        </w:rPr>
      </w:pPr>
    </w:p>
    <w:p w:rsidR="006C2873" w:rsidRPr="00FA55B0" w:rsidRDefault="006C2873" w:rsidP="004636E3">
      <w:pPr>
        <w:spacing w:after="0" w:line="240" w:lineRule="auto"/>
        <w:ind w:right="567"/>
        <w:jc w:val="both"/>
        <w:rPr>
          <w:rFonts w:ascii="Times New Roman" w:hAnsi="Times New Roman"/>
        </w:rPr>
      </w:pPr>
      <w:r w:rsidRPr="00FA55B0">
        <w:rPr>
          <w:rFonts w:ascii="Times New Roman" w:hAnsi="Times New Roman"/>
        </w:rPr>
        <w:t xml:space="preserve">“Estamos hablando de la fuente de vida: el agua. Sólo el 3 por ciento del agua que cubre el planeta es potable, y dos tercios de ella se alimentan con agua de los glaciares. Los modelos económicos que conciben que por encima del agua y de la vida están los proyectos mineros y la búsqueda de la renta ya pusieron el ojo en la cordillera de los Andes. (…) Las provincias mineras, cobijándose en el artículo 124 de la Constitución Nacional, que establece que los recursos naturales son dominio originario de las provincias, creen que pueden convertir a estas normas locales en el obstáculo jurídico de la aplicación de una nueva ley nacional. Recordemos que las leyes de presupuestos mínimos de protección ambiental son facultad del Congreso Nacional. Esta facultad la delegaron las provincias a través del artículo 41 de la Constitución Nacional”. </w:t>
      </w:r>
      <w:r w:rsidRPr="00FA55B0">
        <w:rPr>
          <w:rFonts w:ascii="Times New Roman" w:hAnsi="Times New Roman"/>
          <w:lang w:val="es-ES"/>
        </w:rPr>
        <w:t>(Dip Solanas. CABA, Proyecto Sur, Honorable Cámara de Diputados de la Nación, 2010 p 37)</w:t>
      </w:r>
    </w:p>
    <w:p w:rsidR="006C2873" w:rsidRPr="00FA55B0" w:rsidRDefault="006C2873" w:rsidP="004636E3">
      <w:pPr>
        <w:spacing w:after="0" w:line="240" w:lineRule="auto"/>
        <w:ind w:right="567"/>
        <w:jc w:val="both"/>
        <w:rPr>
          <w:rFonts w:ascii="Times New Roman" w:hAnsi="Times New Roman"/>
        </w:rPr>
      </w:pPr>
    </w:p>
    <w:p w:rsidR="006C2873" w:rsidRPr="00FA55B0" w:rsidRDefault="006C2873" w:rsidP="004636E3">
      <w:pPr>
        <w:spacing w:after="0" w:line="240" w:lineRule="auto"/>
        <w:ind w:right="567"/>
        <w:jc w:val="both"/>
        <w:rPr>
          <w:rFonts w:ascii="Times New Roman" w:hAnsi="Times New Roman"/>
        </w:rPr>
      </w:pPr>
      <w:r w:rsidRPr="00FA55B0">
        <w:rPr>
          <w:rFonts w:ascii="Times New Roman" w:hAnsi="Times New Roman"/>
        </w:rPr>
        <w:t xml:space="preserve">“Entonces, es muy importante que la Nación salga a proteger los glaciares porque constituyen un patrimonio público. Los glaciares son un bien público de interés de todos los argentinos, y no sólo de las provincias donde se encuentran ubicados” </w:t>
      </w:r>
      <w:r w:rsidRPr="00FA55B0">
        <w:rPr>
          <w:rFonts w:ascii="Times New Roman" w:hAnsi="Times New Roman"/>
          <w:lang w:val="es-ES"/>
        </w:rPr>
        <w:t>(Dip</w:t>
      </w:r>
      <w:r>
        <w:rPr>
          <w:rFonts w:ascii="Times New Roman" w:hAnsi="Times New Roman"/>
          <w:lang w:val="es-ES"/>
        </w:rPr>
        <w:t xml:space="preserve">. </w:t>
      </w:r>
      <w:r w:rsidRPr="00FA55B0">
        <w:rPr>
          <w:rFonts w:ascii="Times New Roman" w:hAnsi="Times New Roman"/>
          <w:lang w:val="es-ES"/>
        </w:rPr>
        <w:t xml:space="preserve">Basteiro CABA, Nuevo encuentro. Honorable Cámara de Diputados de la Nación, 2010, p.64)  </w:t>
      </w:r>
    </w:p>
    <w:p w:rsidR="006C2873" w:rsidRPr="00012BA3" w:rsidRDefault="006C2873" w:rsidP="004636E3">
      <w:pPr>
        <w:pStyle w:val="NormalWeb"/>
        <w:jc w:val="both"/>
        <w:rPr>
          <w:lang w:val="es-ES"/>
        </w:rPr>
      </w:pPr>
      <w:r>
        <w:rPr>
          <w:lang w:val="es-AR" w:eastAsia="ar-SA"/>
        </w:rPr>
        <w:tab/>
        <w:t>E</w:t>
      </w:r>
      <w:r w:rsidRPr="008A2D83">
        <w:rPr>
          <w:lang w:val="es-AR" w:eastAsia="ar-SA"/>
        </w:rPr>
        <w:t>n los momentos previos a la sanción definitiva, la presión de sectores promineros por “provincializar” la cuestión y resolver los conflictos al amparo de sus propias soberanías convergentes se hizo notar mediante dos estrat</w:t>
      </w:r>
      <w:r>
        <w:rPr>
          <w:lang w:val="es-AR" w:eastAsia="ar-SA"/>
        </w:rPr>
        <w:t>egias concretas. Por un lado,</w:t>
      </w:r>
      <w:r w:rsidRPr="008A2D83">
        <w:rPr>
          <w:lang w:val="es-AR" w:eastAsia="ar-SA"/>
        </w:rPr>
        <w:t xml:space="preserve"> con la “Declaración de las provincias cordilleranas: Afirmación de sus competencias en materia de Cuidado Ambiental”</w:t>
      </w:r>
      <w:r w:rsidRPr="008A2D83">
        <w:rPr>
          <w:vertAlign w:val="superscript"/>
          <w:lang w:val="es-AR" w:eastAsia="ar-SA"/>
        </w:rPr>
        <w:endnoteReference w:id="11"/>
      </w:r>
      <w:r w:rsidRPr="008A2D83">
        <w:rPr>
          <w:lang w:val="es-AR" w:eastAsia="ar-SA"/>
        </w:rPr>
        <w:t xml:space="preserve"> donde oportunamente sostuvieran “los gobiernos provinciales de las Provincias Cordilleranas se encuentran comprometidos con la protección del medio ambiente existente en cada uno de sus territorios, siendo el federalismo un sistema político de distribución territorial de las competencias que permite resolver con eficacia las cuestiones ambientales particulares y verificables en los territorios de</w:t>
      </w:r>
      <w:r>
        <w:rPr>
          <w:lang w:val="es-AR" w:eastAsia="ar-SA"/>
        </w:rPr>
        <w:t xml:space="preserve"> cada una de dichas Provincias”. </w:t>
      </w:r>
      <w:r w:rsidRPr="0090719B">
        <w:rPr>
          <w:lang w:val="es-AR" w:eastAsia="ar-SA"/>
        </w:rPr>
        <w:t>Por otro lado, la</w:t>
      </w:r>
      <w:r w:rsidRPr="0090719B">
        <w:rPr>
          <w:lang w:val="es-ES"/>
        </w:rPr>
        <w:t xml:space="preserve"> sanción de leyes de protección de glaciares provinciales, durante el proceso de discusión de la Ley de Glaciares, con el objetivo de demostrar que las provincias ya contaban con ordenamientos específicos sobre protección de glaciares</w:t>
      </w:r>
      <w:r w:rsidRPr="0090719B">
        <w:rPr>
          <w:rStyle w:val="Appeldenotedefin"/>
          <w:lang w:val="es-ES"/>
        </w:rPr>
        <w:endnoteReference w:id="12"/>
      </w:r>
      <w:r w:rsidR="00F339B7" w:rsidRPr="0090719B">
        <w:rPr>
          <w:lang w:val="es-ES"/>
        </w:rPr>
        <w:t>.</w:t>
      </w:r>
    </w:p>
    <w:p w:rsidR="006C2873" w:rsidRPr="00012BA3" w:rsidRDefault="006C2873" w:rsidP="00012BA3">
      <w:pPr>
        <w:pStyle w:val="NormalWeb"/>
        <w:jc w:val="both"/>
        <w:rPr>
          <w:b/>
          <w:lang w:val="es-ES"/>
        </w:rPr>
      </w:pPr>
      <w:r>
        <w:rPr>
          <w:b/>
          <w:lang w:val="es-ES"/>
        </w:rPr>
        <w:t>Conclusión</w:t>
      </w:r>
    </w:p>
    <w:p w:rsidR="006C2873" w:rsidRDefault="006C2873" w:rsidP="00F96878">
      <w:pPr>
        <w:pStyle w:val="NormalWeb"/>
        <w:spacing w:before="0" w:beforeAutospacing="0" w:after="0" w:afterAutospacing="0"/>
        <w:jc w:val="both"/>
        <w:rPr>
          <w:lang w:val="es-ES" w:eastAsia="fr-CA"/>
        </w:rPr>
      </w:pPr>
      <w:r w:rsidRPr="008A2D83">
        <w:rPr>
          <w:lang w:val="es-ES"/>
        </w:rPr>
        <w:t>El proceso mediante el cual Argentina se convirtió</w:t>
      </w:r>
      <w:r w:rsidR="00F96878">
        <w:rPr>
          <w:lang w:val="es-ES"/>
        </w:rPr>
        <w:t xml:space="preserve"> en el primer país del mundo en</w:t>
      </w:r>
      <w:r w:rsidRPr="008A2D83">
        <w:rPr>
          <w:lang w:val="es-ES"/>
        </w:rPr>
        <w:t>contar con una ley específica de protección de glaciares</w:t>
      </w:r>
      <w:r w:rsidR="007E7A68">
        <w:rPr>
          <w:lang w:val="es-ES"/>
        </w:rPr>
        <w:t xml:space="preserve"> </w:t>
      </w:r>
      <w:r w:rsidRPr="00312CFE">
        <w:rPr>
          <w:lang w:val="es-ES"/>
        </w:rPr>
        <w:t>(Tailant, 2012)</w:t>
      </w:r>
      <w:r>
        <w:rPr>
          <w:lang w:val="es-ES"/>
        </w:rPr>
        <w:t xml:space="preserve"> colocó en evidencia de qué forma asistimos una dinámica de soberanías en conflicto. </w:t>
      </w:r>
      <w:r w:rsidRPr="008A2D83">
        <w:rPr>
          <w:lang w:val="es-ES"/>
        </w:rPr>
        <w:t>En este</w:t>
      </w:r>
      <w:r>
        <w:rPr>
          <w:lang w:val="es-ES"/>
        </w:rPr>
        <w:t xml:space="preserve"> artículo </w:t>
      </w:r>
      <w:r w:rsidRPr="008A2D83">
        <w:rPr>
          <w:lang w:val="es-ES"/>
        </w:rPr>
        <w:t>se problematizan dos elementos que indican la persistencia y reconfiguración de las soberanías en conflicto a partir de las problemáticas ambientales y mineras.</w:t>
      </w:r>
      <w:r w:rsidR="007E7A68">
        <w:rPr>
          <w:lang w:val="es-ES"/>
        </w:rPr>
        <w:t xml:space="preserve"> </w:t>
      </w:r>
      <w:r w:rsidRPr="008A2D83">
        <w:rPr>
          <w:lang w:val="es-ES"/>
        </w:rPr>
        <w:t xml:space="preserve">En primer lugar, y tal como se ha enfatizado, la soberanía subnacional es el nivel decisorio central en la gestión de los recursos naturales. Las soberanías pueden adquirir diferentes dinámicas sociopolíticas con respecto al desarrollo de la minería y las cuestiones ambientales: </w:t>
      </w:r>
      <w:r w:rsidRPr="008A2D83">
        <w:rPr>
          <w:lang w:val="es-ES" w:eastAsia="fr-CA"/>
        </w:rPr>
        <w:t>convergentes, agonísticas o antagonísticas.</w:t>
      </w:r>
    </w:p>
    <w:p w:rsidR="006C2873" w:rsidRDefault="006C2873" w:rsidP="00012BA3">
      <w:pPr>
        <w:pStyle w:val="NormalWeb"/>
        <w:spacing w:before="0" w:beforeAutospacing="0" w:after="0" w:afterAutospacing="0"/>
        <w:jc w:val="both"/>
        <w:rPr>
          <w:lang w:val="es-ES"/>
        </w:rPr>
      </w:pPr>
      <w:r>
        <w:rPr>
          <w:lang w:val="es-ES" w:eastAsia="fr-CA"/>
        </w:rPr>
        <w:tab/>
      </w:r>
      <w:r w:rsidRPr="008A2D83">
        <w:rPr>
          <w:lang w:val="es-ES" w:eastAsia="fr-CA"/>
        </w:rPr>
        <w:t xml:space="preserve"> En tal sentido, los casos de San Juan y Mendoza ilustran dos tendencias contrapuestas que replican las posiciones subnacionales respecto a la minería y la protección del ambiente.</w:t>
      </w:r>
      <w:r w:rsidR="007E7A68">
        <w:rPr>
          <w:lang w:val="es-ES" w:eastAsia="fr-CA"/>
        </w:rPr>
        <w:t xml:space="preserve"> </w:t>
      </w:r>
      <w:r w:rsidRPr="008A2D83">
        <w:rPr>
          <w:lang w:val="es-ES"/>
        </w:rPr>
        <w:t>En la provincia de San Juan, distintas empresas mineras presentaron ante la justicia de esa provincia</w:t>
      </w:r>
      <w:r w:rsidR="005D0AE4">
        <w:rPr>
          <w:lang w:val="es-ES"/>
        </w:rPr>
        <w:t xml:space="preserve"> </w:t>
      </w:r>
      <w:r w:rsidRPr="008A2D83">
        <w:rPr>
          <w:lang w:val="es-ES"/>
        </w:rPr>
        <w:t>una serie de medidas cautelares ex</w:t>
      </w:r>
      <w:r>
        <w:rPr>
          <w:lang w:val="es-ES"/>
        </w:rPr>
        <w:t>igiendo la no aplicación de la Ley N</w:t>
      </w:r>
      <w:r w:rsidRPr="008A2D83">
        <w:rPr>
          <w:lang w:val="es-ES"/>
        </w:rPr>
        <w:t>acional</w:t>
      </w:r>
      <w:r>
        <w:rPr>
          <w:lang w:val="es-ES"/>
        </w:rPr>
        <w:t xml:space="preserve"> de Glaciares</w:t>
      </w:r>
      <w:r w:rsidRPr="008A2D83">
        <w:rPr>
          <w:lang w:val="es-ES"/>
        </w:rPr>
        <w:t xml:space="preserve"> en el territorio sanjuanino. Pese a contar con el apoyo del gobierno subnacional, siempre proclive a </w:t>
      </w:r>
      <w:r>
        <w:rPr>
          <w:lang w:val="es-ES"/>
        </w:rPr>
        <w:t>defender su soberanía</w:t>
      </w:r>
      <w:r w:rsidRPr="008A2D83">
        <w:rPr>
          <w:lang w:val="es-ES"/>
        </w:rPr>
        <w:t xml:space="preserve">, finalmente, en julio de 2012 la Corte Suprema de Justicia de la Nación revocó las medidas cautelares dando directrices para realizar el inventario nacional de glaciares en todo el territorio nacional. Adicionalmente, la provincia de San Juan, delegó en dos institutos dependiente de la Universidad Nacional de San Juan (UNSJ) el inventario de glaciares. Pese que la ley nacional indica que el encargado de inventariar es el </w:t>
      </w:r>
      <w:r w:rsidR="007E7A68" w:rsidRPr="007E7A68">
        <w:rPr>
          <w:lang w:val="es-ES"/>
        </w:rPr>
        <w:t>Instituto Argentino de Nivología, Glaciología y Ciencias Ambientales</w:t>
      </w:r>
      <w:r w:rsidR="007E7A68">
        <w:rPr>
          <w:lang w:val="es-ES"/>
        </w:rPr>
        <w:t xml:space="preserve"> (</w:t>
      </w:r>
      <w:r w:rsidRPr="008A2D83">
        <w:rPr>
          <w:lang w:val="es-ES"/>
        </w:rPr>
        <w:t>IANIGLIA</w:t>
      </w:r>
      <w:r w:rsidR="007E7A68">
        <w:rPr>
          <w:lang w:val="es-ES"/>
        </w:rPr>
        <w:t>)</w:t>
      </w:r>
      <w:r w:rsidRPr="008A2D83">
        <w:rPr>
          <w:lang w:val="es-ES"/>
        </w:rPr>
        <w:t>, este organismo de carácter federal no participó en los inventarios elaborados por la UNJS (IANIGLIA s/d).</w:t>
      </w:r>
    </w:p>
    <w:p w:rsidR="006C2873" w:rsidRDefault="006C2873" w:rsidP="00012BA3">
      <w:pPr>
        <w:pStyle w:val="NormalWeb"/>
        <w:spacing w:before="0" w:beforeAutospacing="0" w:after="0" w:afterAutospacing="0"/>
        <w:jc w:val="both"/>
        <w:rPr>
          <w:lang w:val="es-ES"/>
        </w:rPr>
      </w:pPr>
      <w:r>
        <w:rPr>
          <w:lang w:val="es-ES"/>
        </w:rPr>
        <w:tab/>
      </w:r>
      <w:r w:rsidR="007E7A68">
        <w:rPr>
          <w:lang w:val="es-ES"/>
        </w:rPr>
        <w:t xml:space="preserve">Contrariamente, Mendoza, </w:t>
      </w:r>
      <w:r w:rsidRPr="008A2D83">
        <w:rPr>
          <w:lang w:val="es-ES"/>
        </w:rPr>
        <w:t>jugó un rol fund</w:t>
      </w:r>
      <w:r>
        <w:rPr>
          <w:lang w:val="es-ES"/>
        </w:rPr>
        <w:t>amental en la aplicación de la Ley Nacional de G</w:t>
      </w:r>
      <w:r w:rsidRPr="008A2D83">
        <w:rPr>
          <w:lang w:val="es-ES"/>
        </w:rPr>
        <w:t>laciares. Con el fuerte impulso del IANIGLIA, el cual posee su centro principal de trabajo en esta provincia cuyana, ha logrado ser la primera jurisdicción argentina en completar su inventario. En junio de 2014, se informó que dicha provincia cuenta con 572,57 km2 de glaciares, distribuidos en 1.625 cuerpos de hielo (Los Andes, 2014).</w:t>
      </w:r>
      <w:r w:rsidR="007E7A68">
        <w:rPr>
          <w:lang w:val="es-ES"/>
        </w:rPr>
        <w:t xml:space="preserve"> </w:t>
      </w:r>
      <w:r w:rsidRPr="00012BA3">
        <w:rPr>
          <w:lang w:val="es-ES"/>
        </w:rPr>
        <w:t xml:space="preserve">Como dato no menor, a más de cinco años después de la sanción de la Ley de Glaciares, el inventario ordenado por la norma aún no se ha finalizado pese a que la norma establecía 180 días para dicha tarea. </w:t>
      </w:r>
    </w:p>
    <w:p w:rsidR="006C2873" w:rsidRDefault="006C2873" w:rsidP="00012BA3">
      <w:pPr>
        <w:pStyle w:val="NormalWeb"/>
        <w:spacing w:before="0" w:beforeAutospacing="0" w:after="0" w:afterAutospacing="0"/>
        <w:jc w:val="both"/>
        <w:rPr>
          <w:lang w:val="es-ES"/>
        </w:rPr>
      </w:pPr>
      <w:r>
        <w:rPr>
          <w:lang w:val="es-ES"/>
        </w:rPr>
        <w:tab/>
      </w:r>
      <w:r w:rsidRPr="00012BA3">
        <w:rPr>
          <w:lang w:val="es-ES"/>
        </w:rPr>
        <w:t xml:space="preserve">Pese a ciertos avances, no parece haber un impacto efectivo de tal norma en la modificación de las políticas mineras en Argentina.  </w:t>
      </w:r>
      <w:r w:rsidR="007E7A68">
        <w:rPr>
          <w:lang w:val="es-ES"/>
        </w:rPr>
        <w:t>Pe</w:t>
      </w:r>
      <w:r w:rsidRPr="00012BA3">
        <w:rPr>
          <w:lang w:val="es-ES"/>
        </w:rPr>
        <w:t>se a que la Ley de Glaciares ha sido un ejemplo efectivo</w:t>
      </w:r>
      <w:r>
        <w:rPr>
          <w:lang w:val="es-ES"/>
        </w:rPr>
        <w:t xml:space="preserve"> de</w:t>
      </w:r>
      <w:r w:rsidRPr="00012BA3">
        <w:rPr>
          <w:lang w:val="es-ES"/>
        </w:rPr>
        <w:t xml:space="preserve"> la influencia de la movilización socioambiental, se remarca la existencia de limitaciones para discutir en el </w:t>
      </w:r>
      <w:r>
        <w:rPr>
          <w:lang w:val="es-ES"/>
        </w:rPr>
        <w:t xml:space="preserve">nivel de la soberanía nacional </w:t>
      </w:r>
      <w:r w:rsidRPr="00012BA3">
        <w:rPr>
          <w:lang w:val="es-ES"/>
        </w:rPr>
        <w:t xml:space="preserve">las políticas ambientales y mineras. </w:t>
      </w:r>
      <w:r w:rsidR="007E7A68">
        <w:rPr>
          <w:lang w:val="es-ES"/>
        </w:rPr>
        <w:t>La</w:t>
      </w:r>
      <w:r w:rsidRPr="003E51D3">
        <w:rPr>
          <w:lang w:val="es-ES"/>
        </w:rPr>
        <w:t xml:space="preserve"> discusión </w:t>
      </w:r>
      <w:r w:rsidR="007E7A68">
        <w:rPr>
          <w:lang w:val="es-ES"/>
        </w:rPr>
        <w:t>en torno a</w:t>
      </w:r>
      <w:r w:rsidRPr="00312CFE">
        <w:rPr>
          <w:lang w:val="es-ES"/>
        </w:rPr>
        <w:t xml:space="preserve"> los glaciares actuó como una especie de “atajo” para discutir legislativamente a nivel nacional el tema minero.</w:t>
      </w:r>
      <w:r w:rsidR="007E7A68">
        <w:rPr>
          <w:lang w:val="es-ES"/>
        </w:rPr>
        <w:t xml:space="preserve"> Si bien</w:t>
      </w:r>
      <w:r w:rsidRPr="00012BA3">
        <w:rPr>
          <w:lang w:val="es-ES"/>
        </w:rPr>
        <w:t xml:space="preserve"> que durante el debate de dicha ley se han</w:t>
      </w:r>
      <w:r w:rsidR="007E7A68">
        <w:rPr>
          <w:lang w:val="es-ES"/>
        </w:rPr>
        <w:t xml:space="preserve"> </w:t>
      </w:r>
      <w:r w:rsidRPr="00012BA3">
        <w:rPr>
          <w:lang w:val="es-ES"/>
        </w:rPr>
        <w:t xml:space="preserve">enfrentado las posiciones “antimineras” y “promineras”, las deliberaciones allí desarrolladas no pueden considerarse siquiera un porcentaje menor de un debate profundo, integral y necesario sobre la política minera argentina que sistemáticamente fuera postergado al interior del cuerpo legislativo. </w:t>
      </w:r>
    </w:p>
    <w:p w:rsidR="006E30C5" w:rsidRDefault="006C2873" w:rsidP="00012BA3">
      <w:pPr>
        <w:pStyle w:val="NormalWeb"/>
        <w:spacing w:before="0" w:beforeAutospacing="0" w:after="0" w:afterAutospacing="0"/>
        <w:jc w:val="both"/>
        <w:rPr>
          <w:lang w:val="es-ES"/>
        </w:rPr>
      </w:pPr>
      <w:r>
        <w:rPr>
          <w:lang w:val="es-ES"/>
        </w:rPr>
        <w:tab/>
      </w:r>
      <w:r w:rsidRPr="00012BA3">
        <w:rPr>
          <w:lang w:val="es-ES"/>
        </w:rPr>
        <w:t>En tal sentido, la movilización socioambiental en Argentina ha encontrado recurrentes limitaciones para abrir el juego de la discusión minera a nivel federal.</w:t>
      </w:r>
      <w:r w:rsidR="007E7A68">
        <w:rPr>
          <w:lang w:val="es-ES"/>
        </w:rPr>
        <w:t xml:space="preserve"> </w:t>
      </w:r>
      <w:r w:rsidRPr="00012BA3">
        <w:rPr>
          <w:lang w:val="es-ES"/>
        </w:rPr>
        <w:t>Entre los años 2005 y 2013 se han presentado, sin resultados positivos, 10 proyectos de ley</w:t>
      </w:r>
      <w:r w:rsidR="000B47D0">
        <w:rPr>
          <w:lang w:val="es-ES"/>
        </w:rPr>
        <w:t xml:space="preserve"> </w:t>
      </w:r>
      <w:r w:rsidRPr="00012BA3">
        <w:rPr>
          <w:lang w:val="es-ES"/>
        </w:rPr>
        <w:t>que buscaron prohibir la explotación de la megaminería a cielo abierto en todo el territorio argentino, 7 de ellos en la Cámara Baja y los 3 restantes en Senadores</w:t>
      </w:r>
      <w:r>
        <w:rPr>
          <w:lang w:val="es-ES"/>
        </w:rPr>
        <w:t>.</w:t>
      </w:r>
      <w:r w:rsidR="000B47D0">
        <w:rPr>
          <w:lang w:val="es-ES"/>
        </w:rPr>
        <w:t xml:space="preserve"> </w:t>
      </w:r>
      <w:r>
        <w:rPr>
          <w:lang w:val="es-ES"/>
        </w:rPr>
        <w:t>A pesar de conformar una</w:t>
      </w:r>
      <w:r w:rsidRPr="00012BA3">
        <w:rPr>
          <w:lang w:val="es-ES"/>
        </w:rPr>
        <w:t xml:space="preserve"> pluralidad de actores y de contar con apoyo de ciertos sectores legislativos, mayormente de partidos pequeños, la movilización socioambiental encuentra un</w:t>
      </w:r>
      <w:r>
        <w:rPr>
          <w:lang w:val="es-ES"/>
        </w:rPr>
        <w:t xml:space="preserve"> límite frente a sus demandas</w:t>
      </w:r>
      <w:r w:rsidRPr="00012BA3">
        <w:rPr>
          <w:lang w:val="es-ES"/>
        </w:rPr>
        <w:t>. La política pro minera del gob</w:t>
      </w:r>
      <w:r>
        <w:rPr>
          <w:lang w:val="es-ES"/>
        </w:rPr>
        <w:t>ierno nacional y la mayoría oficialista</w:t>
      </w:r>
      <w:r w:rsidRPr="00012BA3">
        <w:rPr>
          <w:lang w:val="es-ES"/>
        </w:rPr>
        <w:t xml:space="preserve"> en ambas cámaras y</w:t>
      </w:r>
      <w:r>
        <w:rPr>
          <w:lang w:val="es-ES"/>
        </w:rPr>
        <w:t xml:space="preserve"> el control</w:t>
      </w:r>
      <w:r w:rsidRPr="00012BA3">
        <w:rPr>
          <w:lang w:val="es-ES"/>
        </w:rPr>
        <w:t xml:space="preserve"> de puestos claves en las comisiones de Minería</w:t>
      </w:r>
      <w:r w:rsidRPr="008A2D83">
        <w:rPr>
          <w:vertAlign w:val="superscript"/>
        </w:rPr>
        <w:endnoteReference w:id="13"/>
      </w:r>
      <w:r w:rsidR="0009223B" w:rsidRPr="00012BA3">
        <w:rPr>
          <w:lang w:val="es-ES"/>
        </w:rPr>
        <w:t xml:space="preserve">por parte de representantes de provincias mineras </w:t>
      </w:r>
      <w:r w:rsidR="00BA32AE">
        <w:rPr>
          <w:lang w:val="es-ES"/>
        </w:rPr>
        <w:t>operan como elementos de cierre</w:t>
      </w:r>
      <w:r w:rsidR="003E0772" w:rsidRPr="00012BA3">
        <w:rPr>
          <w:lang w:val="es-ES"/>
        </w:rPr>
        <w:t xml:space="preserve"> a la hora de pensar debates profundos sobre la cuestión minera a nivel nacional.</w:t>
      </w:r>
    </w:p>
    <w:p w:rsidR="00431111" w:rsidRDefault="001C0B21" w:rsidP="006C2873">
      <w:pPr>
        <w:pStyle w:val="NormalWeb"/>
        <w:spacing w:before="0" w:beforeAutospacing="0" w:after="0" w:afterAutospacing="0"/>
        <w:ind w:firstLine="708"/>
        <w:jc w:val="both"/>
        <w:rPr>
          <w:lang w:val="es-ES"/>
        </w:rPr>
      </w:pPr>
      <w:r w:rsidRPr="007E4FB9">
        <w:rPr>
          <w:lang w:val="es-ES"/>
        </w:rPr>
        <w:t xml:space="preserve">La Ley de Glaciares en Argentina ha resultado un ejemplo emblemático tanto de las posibilidades como de las dificultades que enfrenta la movilización socioambiental cuando propugna condicionar las políticas ambientales en el nivel federal. En un contexto latinoamericano de crecientes disputas en torno a los recursos naturales, </w:t>
      </w:r>
      <w:r w:rsidR="00BA32AE" w:rsidRPr="007E4FB9">
        <w:rPr>
          <w:lang w:val="es-ES"/>
        </w:rPr>
        <w:t>es necesario</w:t>
      </w:r>
      <w:r w:rsidR="00286370" w:rsidRPr="007E4FB9">
        <w:rPr>
          <w:lang w:val="es-ES"/>
        </w:rPr>
        <w:t xml:space="preserve"> seguir indagando las</w:t>
      </w:r>
      <w:r w:rsidR="00BA32AE" w:rsidRPr="007E4FB9">
        <w:rPr>
          <w:lang w:val="es-ES"/>
        </w:rPr>
        <w:t xml:space="preserve"> configuraciones</w:t>
      </w:r>
      <w:r w:rsidR="00286370" w:rsidRPr="007E4FB9">
        <w:rPr>
          <w:lang w:val="es-ES"/>
        </w:rPr>
        <w:t xml:space="preserve"> de las soberanías en conflicto</w:t>
      </w:r>
      <w:r w:rsidR="00BA32AE" w:rsidRPr="007E4FB9">
        <w:rPr>
          <w:lang w:val="es-ES"/>
        </w:rPr>
        <w:t xml:space="preserve"> a partir</w:t>
      </w:r>
      <w:r w:rsidR="00286370" w:rsidRPr="007E4FB9">
        <w:rPr>
          <w:lang w:val="es-ES"/>
        </w:rPr>
        <w:t xml:space="preserve"> de las </w:t>
      </w:r>
      <w:r w:rsidRPr="007E4FB9">
        <w:rPr>
          <w:lang w:val="es-ES"/>
        </w:rPr>
        <w:t xml:space="preserve">tensiones </w:t>
      </w:r>
      <w:r w:rsidR="00BA32AE" w:rsidRPr="007E4FB9">
        <w:rPr>
          <w:lang w:val="es-ES"/>
        </w:rPr>
        <w:t xml:space="preserve">que se presentan </w:t>
      </w:r>
      <w:r w:rsidRPr="007E4FB9">
        <w:rPr>
          <w:lang w:val="es-ES"/>
        </w:rPr>
        <w:t>entre</w:t>
      </w:r>
      <w:r w:rsidR="00BA32AE" w:rsidRPr="007E4FB9">
        <w:rPr>
          <w:lang w:val="es-ES"/>
        </w:rPr>
        <w:t xml:space="preserve"> poder y territorio</w:t>
      </w:r>
      <w:r w:rsidR="00286370" w:rsidRPr="007E4FB9">
        <w:rPr>
          <w:lang w:val="es-ES"/>
        </w:rPr>
        <w:t xml:space="preserve"> entre los distintos actores.</w:t>
      </w:r>
    </w:p>
    <w:p w:rsidR="000B47D0" w:rsidRDefault="000B47D0" w:rsidP="006C2873">
      <w:pPr>
        <w:pStyle w:val="NormalWeb"/>
        <w:spacing w:before="0" w:beforeAutospacing="0" w:after="0" w:afterAutospacing="0"/>
        <w:ind w:firstLine="708"/>
        <w:jc w:val="both"/>
        <w:rPr>
          <w:lang w:val="es-ES"/>
        </w:rPr>
      </w:pPr>
    </w:p>
    <w:p w:rsidR="000B47D0" w:rsidRDefault="000B47D0" w:rsidP="006C2873">
      <w:pPr>
        <w:pStyle w:val="NormalWeb"/>
        <w:spacing w:before="0" w:beforeAutospacing="0" w:after="0" w:afterAutospacing="0"/>
        <w:ind w:firstLine="708"/>
        <w:jc w:val="both"/>
        <w:rPr>
          <w:lang w:val="es-ES"/>
        </w:rPr>
      </w:pPr>
    </w:p>
    <w:p w:rsidR="000B47D0" w:rsidRDefault="000B47D0" w:rsidP="006C2873">
      <w:pPr>
        <w:pStyle w:val="NormalWeb"/>
        <w:spacing w:before="0" w:beforeAutospacing="0" w:after="0" w:afterAutospacing="0"/>
        <w:ind w:firstLine="708"/>
        <w:jc w:val="both"/>
        <w:rPr>
          <w:lang w:val="es-ES"/>
        </w:rPr>
      </w:pPr>
    </w:p>
    <w:p w:rsidR="000B47D0" w:rsidRPr="006C2873" w:rsidRDefault="000B47D0" w:rsidP="006C2873">
      <w:pPr>
        <w:pStyle w:val="NormalWeb"/>
        <w:spacing w:before="0" w:beforeAutospacing="0" w:after="0" w:afterAutospacing="0"/>
        <w:ind w:firstLine="708"/>
        <w:jc w:val="both"/>
        <w:rPr>
          <w:lang w:val="es-ES"/>
        </w:rPr>
      </w:pPr>
    </w:p>
    <w:sectPr w:rsidR="000B47D0" w:rsidRPr="006C2873" w:rsidSect="004636E3">
      <w:footerReference w:type="default" r:id="rId9"/>
      <w:endnotePr>
        <w:numFmt w:val="decimal"/>
      </w:endnotePr>
      <w:pgSz w:w="11906" w:h="16838"/>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EF99F8" w15:done="0"/>
  <w15:commentEx w15:paraId="4BF2ACDD" w15:done="0"/>
  <w15:commentEx w15:paraId="37DE7819" w15:done="0"/>
  <w15:commentEx w15:paraId="6CB21A71" w15:done="0"/>
  <w15:commentEx w15:paraId="30FC531F" w15:done="0"/>
  <w15:commentEx w15:paraId="5B0DA473" w15:done="0"/>
  <w15:commentEx w15:paraId="356AC7F7" w15:done="0"/>
  <w15:commentEx w15:paraId="5C860FB1" w15:done="0"/>
  <w15:commentEx w15:paraId="1E14E5A6" w15:done="0"/>
  <w15:commentEx w15:paraId="22BADDCF" w15:done="0"/>
  <w15:commentEx w15:paraId="02D74B19" w15:done="0"/>
  <w15:commentEx w15:paraId="1868B6CE" w15:done="0"/>
  <w15:commentEx w15:paraId="121DD1E3" w15:done="0"/>
  <w15:commentEx w15:paraId="1D09ADB6" w15:done="0"/>
  <w15:commentEx w15:paraId="1759D418" w15:done="0"/>
  <w15:commentEx w15:paraId="6C2A604D" w15:done="0"/>
  <w15:commentEx w15:paraId="30BD6408" w15:done="0"/>
  <w15:commentEx w15:paraId="6CB35CB2" w15:done="0"/>
  <w15:commentEx w15:paraId="43BF2FBE" w15:done="0"/>
  <w15:commentEx w15:paraId="0425B5B6" w15:done="0"/>
  <w15:commentEx w15:paraId="444A4B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293" w:rsidRDefault="007F2293" w:rsidP="00841CA1">
      <w:pPr>
        <w:spacing w:after="0" w:line="240" w:lineRule="auto"/>
      </w:pPr>
      <w:r>
        <w:separator/>
      </w:r>
    </w:p>
  </w:endnote>
  <w:endnote w:type="continuationSeparator" w:id="0">
    <w:p w:rsidR="007F2293" w:rsidRDefault="007F2293" w:rsidP="00841CA1">
      <w:pPr>
        <w:spacing w:after="0" w:line="240" w:lineRule="auto"/>
      </w:pPr>
      <w:r>
        <w:continuationSeparator/>
      </w:r>
    </w:p>
  </w:endnote>
  <w:endnote w:id="1">
    <w:p w:rsidR="0090719B" w:rsidRPr="007E4FB9" w:rsidRDefault="0090719B">
      <w:pPr>
        <w:pStyle w:val="Notedefin"/>
        <w:rPr>
          <w:rFonts w:ascii="Times New Roman" w:hAnsi="Times New Roman"/>
          <w:lang w:val="es-ES"/>
        </w:rPr>
      </w:pPr>
      <w:r>
        <w:rPr>
          <w:rStyle w:val="Appeldenotedefin"/>
        </w:rPr>
        <w:endnoteRef/>
      </w:r>
      <w:r w:rsidRPr="00F96878">
        <w:rPr>
          <w:rFonts w:ascii="Times New Roman" w:hAnsi="Times New Roman"/>
          <w:lang w:val="es-ES"/>
        </w:rPr>
        <w:t xml:space="preserve"> </w:t>
      </w:r>
      <w:r w:rsidRPr="007E4FB9">
        <w:rPr>
          <w:rFonts w:ascii="Times New Roman" w:hAnsi="Times New Roman"/>
          <w:lang w:val="es-ES"/>
        </w:rPr>
        <w:t>Nos referimos a la megaminería metalífera, la cual contrariamente a la explotación de socavón, requiere la dinamitación de grandes extensiones de montaña y cerros -debido a la baja concentración y al estado de diseminación del mineral- para luego, mediante la utilización de sustancias químicas y grandes cantidades de agua, separar la roca del metal (Moody 2007; Rodríguez Pardo 2009).</w:t>
      </w:r>
    </w:p>
  </w:endnote>
  <w:endnote w:id="2">
    <w:p w:rsidR="0090719B" w:rsidRPr="007E4FB9" w:rsidRDefault="0090719B" w:rsidP="00850CAD">
      <w:pPr>
        <w:pStyle w:val="Notedefin"/>
        <w:jc w:val="both"/>
        <w:rPr>
          <w:rFonts w:ascii="Times New Roman" w:hAnsi="Times New Roman"/>
          <w:lang w:val="es-ES"/>
        </w:rPr>
      </w:pPr>
      <w:r w:rsidRPr="007E4FB9">
        <w:rPr>
          <w:rStyle w:val="Appeldenotedefin"/>
          <w:rFonts w:ascii="Times New Roman" w:hAnsi="Times New Roman"/>
        </w:rPr>
        <w:endnoteRef/>
      </w:r>
      <w:r w:rsidRPr="007E4FB9">
        <w:rPr>
          <w:rFonts w:ascii="Times New Roman" w:hAnsi="Times New Roman"/>
          <w:lang w:val="es-ES"/>
        </w:rPr>
        <w:t>Actualmente están vigentes 10 leyes de presupuestos mínimos: Ley General del Ambiente</w:t>
      </w:r>
      <w:r w:rsidR="007E4FB9" w:rsidRPr="007E4FB9">
        <w:rPr>
          <w:rFonts w:ascii="Times New Roman" w:hAnsi="Times New Roman"/>
          <w:lang w:val="es-ES"/>
        </w:rPr>
        <w:t xml:space="preserve"> (2002), Ley de Residuos P</w:t>
      </w:r>
      <w:r w:rsidRPr="007E4FB9">
        <w:rPr>
          <w:rFonts w:ascii="Times New Roman" w:hAnsi="Times New Roman"/>
          <w:lang w:val="es-ES"/>
        </w:rPr>
        <w:t>eligrosos</w:t>
      </w:r>
      <w:r w:rsidR="007E4FB9" w:rsidRPr="007E4FB9">
        <w:rPr>
          <w:rFonts w:ascii="Times New Roman" w:hAnsi="Times New Roman"/>
          <w:lang w:val="es-ES"/>
        </w:rPr>
        <w:t xml:space="preserve"> (1991)</w:t>
      </w:r>
      <w:r w:rsidRPr="007E4FB9">
        <w:rPr>
          <w:rFonts w:ascii="Times New Roman" w:hAnsi="Times New Roman"/>
          <w:lang w:val="es-ES"/>
        </w:rPr>
        <w:t>,</w:t>
      </w:r>
      <w:r w:rsidR="007E4FB9" w:rsidRPr="007E4FB9">
        <w:rPr>
          <w:rFonts w:ascii="Times New Roman" w:hAnsi="Times New Roman"/>
          <w:lang w:val="es-ES"/>
        </w:rPr>
        <w:t xml:space="preserve"> Ley de</w:t>
      </w:r>
      <w:r w:rsidRPr="007E4FB9">
        <w:rPr>
          <w:rFonts w:ascii="Times New Roman" w:hAnsi="Times New Roman"/>
          <w:lang w:val="es-ES"/>
        </w:rPr>
        <w:t xml:space="preserve"> Gestión Integral de Residuos Industriales</w:t>
      </w:r>
      <w:r w:rsidR="007E4FB9" w:rsidRPr="007E4FB9">
        <w:rPr>
          <w:rFonts w:ascii="Times New Roman" w:hAnsi="Times New Roman"/>
          <w:lang w:val="es-ES"/>
        </w:rPr>
        <w:t xml:space="preserve"> (2002)</w:t>
      </w:r>
      <w:r w:rsidRPr="007E4FB9">
        <w:rPr>
          <w:rFonts w:ascii="Times New Roman" w:hAnsi="Times New Roman"/>
          <w:lang w:val="es-ES"/>
        </w:rPr>
        <w:t xml:space="preserve">, </w:t>
      </w:r>
      <w:r w:rsidR="007E4FB9" w:rsidRPr="007E4FB9">
        <w:rPr>
          <w:rFonts w:ascii="Times New Roman" w:hAnsi="Times New Roman"/>
          <w:lang w:val="es-ES"/>
        </w:rPr>
        <w:t xml:space="preserve">Ley de </w:t>
      </w:r>
      <w:r w:rsidRPr="007E4FB9">
        <w:rPr>
          <w:rFonts w:ascii="Times New Roman" w:hAnsi="Times New Roman"/>
          <w:lang w:val="es-ES"/>
        </w:rPr>
        <w:t>Gestión y Eliminación del PCB</w:t>
      </w:r>
      <w:r w:rsidR="007E4FB9" w:rsidRPr="007E4FB9">
        <w:rPr>
          <w:rFonts w:ascii="Times New Roman" w:hAnsi="Times New Roman"/>
          <w:lang w:val="es-ES"/>
        </w:rPr>
        <w:t xml:space="preserve"> (2002)</w:t>
      </w:r>
      <w:r w:rsidRPr="007E4FB9">
        <w:rPr>
          <w:rFonts w:ascii="Times New Roman" w:hAnsi="Times New Roman"/>
          <w:lang w:val="es-ES"/>
        </w:rPr>
        <w:t xml:space="preserve">, </w:t>
      </w:r>
      <w:r w:rsidR="007E4FB9" w:rsidRPr="007E4FB9">
        <w:rPr>
          <w:rFonts w:ascii="Times New Roman" w:hAnsi="Times New Roman"/>
          <w:lang w:val="es-ES"/>
        </w:rPr>
        <w:t xml:space="preserve">Ley de </w:t>
      </w:r>
      <w:r w:rsidRPr="007E4FB9">
        <w:rPr>
          <w:rFonts w:ascii="Times New Roman" w:hAnsi="Times New Roman"/>
          <w:lang w:val="es-ES"/>
        </w:rPr>
        <w:t>Gestión del Agua</w:t>
      </w:r>
      <w:r w:rsidR="007E4FB9" w:rsidRPr="007E4FB9">
        <w:rPr>
          <w:rFonts w:ascii="Times New Roman" w:hAnsi="Times New Roman"/>
          <w:lang w:val="es-ES"/>
        </w:rPr>
        <w:t xml:space="preserve"> (2003)</w:t>
      </w:r>
      <w:r w:rsidRPr="007E4FB9">
        <w:rPr>
          <w:rFonts w:ascii="Times New Roman" w:hAnsi="Times New Roman"/>
          <w:lang w:val="es-ES"/>
        </w:rPr>
        <w:t xml:space="preserve">, </w:t>
      </w:r>
      <w:r w:rsidR="007E4FB9" w:rsidRPr="007E4FB9">
        <w:rPr>
          <w:rFonts w:ascii="Times New Roman" w:hAnsi="Times New Roman"/>
          <w:lang w:val="es-ES"/>
        </w:rPr>
        <w:t xml:space="preserve">Ley de </w:t>
      </w:r>
      <w:r w:rsidRPr="007E4FB9">
        <w:rPr>
          <w:rFonts w:ascii="Times New Roman" w:hAnsi="Times New Roman"/>
          <w:lang w:val="es-ES"/>
        </w:rPr>
        <w:t>Régimen de Libre Acceso a la Información Pública Ambiental</w:t>
      </w:r>
      <w:r w:rsidR="007E4FB9" w:rsidRPr="007E4FB9">
        <w:rPr>
          <w:rFonts w:ascii="Times New Roman" w:hAnsi="Times New Roman"/>
          <w:lang w:val="es-ES"/>
        </w:rPr>
        <w:t xml:space="preserve"> (2004)</w:t>
      </w:r>
      <w:r w:rsidRPr="007E4FB9">
        <w:rPr>
          <w:rFonts w:ascii="Times New Roman" w:hAnsi="Times New Roman"/>
          <w:lang w:val="es-ES"/>
        </w:rPr>
        <w:t xml:space="preserve">, </w:t>
      </w:r>
      <w:r w:rsidR="007E4FB9" w:rsidRPr="007E4FB9">
        <w:rPr>
          <w:rFonts w:ascii="Times New Roman" w:hAnsi="Times New Roman"/>
          <w:lang w:val="es-ES"/>
        </w:rPr>
        <w:t xml:space="preserve">Ley de </w:t>
      </w:r>
      <w:r w:rsidRPr="007E4FB9">
        <w:rPr>
          <w:rFonts w:ascii="Times New Roman" w:hAnsi="Times New Roman"/>
          <w:lang w:val="es-ES"/>
        </w:rPr>
        <w:t>Protección de Bosques Nativos</w:t>
      </w:r>
      <w:r w:rsidR="007E4FB9" w:rsidRPr="007E4FB9">
        <w:rPr>
          <w:rFonts w:ascii="Times New Roman" w:hAnsi="Times New Roman"/>
          <w:lang w:val="es-ES"/>
        </w:rPr>
        <w:t xml:space="preserve"> (2009)</w:t>
      </w:r>
      <w:r w:rsidRPr="007E4FB9">
        <w:rPr>
          <w:rFonts w:ascii="Times New Roman" w:hAnsi="Times New Roman"/>
          <w:lang w:val="es-ES"/>
        </w:rPr>
        <w:t>,</w:t>
      </w:r>
      <w:r w:rsidR="007E4FB9" w:rsidRPr="007E4FB9">
        <w:rPr>
          <w:rFonts w:ascii="Times New Roman" w:hAnsi="Times New Roman"/>
          <w:lang w:val="es-ES"/>
        </w:rPr>
        <w:t xml:space="preserve"> Ley de </w:t>
      </w:r>
      <w:r w:rsidRPr="007E4FB9">
        <w:rPr>
          <w:rFonts w:ascii="Times New Roman" w:hAnsi="Times New Roman"/>
          <w:lang w:val="es-ES"/>
        </w:rPr>
        <w:t>Manejo de Fuego</w:t>
      </w:r>
      <w:r w:rsidR="007E4FB9" w:rsidRPr="007E4FB9">
        <w:rPr>
          <w:rFonts w:ascii="Times New Roman" w:hAnsi="Times New Roman"/>
          <w:lang w:val="es-ES"/>
        </w:rPr>
        <w:t xml:space="preserve"> (2013)</w:t>
      </w:r>
      <w:r w:rsidRPr="007E4FB9">
        <w:rPr>
          <w:rFonts w:ascii="Times New Roman" w:hAnsi="Times New Roman"/>
          <w:lang w:val="es-ES"/>
        </w:rPr>
        <w:t>,</w:t>
      </w:r>
      <w:r w:rsidR="007E4FB9" w:rsidRPr="007E4FB9">
        <w:rPr>
          <w:rFonts w:ascii="Times New Roman" w:hAnsi="Times New Roman"/>
          <w:lang w:val="es-ES"/>
        </w:rPr>
        <w:t xml:space="preserve"> Ley de</w:t>
      </w:r>
      <w:r w:rsidRPr="007E4FB9">
        <w:rPr>
          <w:rFonts w:ascii="Times New Roman" w:hAnsi="Times New Roman"/>
          <w:lang w:val="es-ES"/>
        </w:rPr>
        <w:t xml:space="preserve"> Protección </w:t>
      </w:r>
      <w:r w:rsidR="007E4FB9" w:rsidRPr="007E4FB9">
        <w:rPr>
          <w:rFonts w:ascii="Times New Roman" w:hAnsi="Times New Roman"/>
          <w:lang w:val="es-ES"/>
        </w:rPr>
        <w:t>de Glaciares</w:t>
      </w:r>
      <w:r w:rsidR="007E4FB9">
        <w:rPr>
          <w:rFonts w:ascii="Times New Roman" w:hAnsi="Times New Roman"/>
          <w:lang w:val="es-ES"/>
        </w:rPr>
        <w:t xml:space="preserve"> (2011)</w:t>
      </w:r>
      <w:r w:rsidR="007E4FB9" w:rsidRPr="007E4FB9">
        <w:rPr>
          <w:rFonts w:ascii="Times New Roman" w:hAnsi="Times New Roman"/>
          <w:lang w:val="es-ES"/>
        </w:rPr>
        <w:t>, Ley de Humedales</w:t>
      </w:r>
      <w:r w:rsidR="007E4FB9">
        <w:rPr>
          <w:rFonts w:ascii="Times New Roman" w:hAnsi="Times New Roman"/>
          <w:lang w:val="es-ES"/>
        </w:rPr>
        <w:t xml:space="preserve"> (2016)</w:t>
      </w:r>
      <w:r w:rsidR="007E4FB9" w:rsidRPr="007E4FB9">
        <w:rPr>
          <w:rFonts w:ascii="Times New Roman" w:hAnsi="Times New Roman"/>
          <w:lang w:val="es-ES"/>
        </w:rPr>
        <w:t>. (Banco Mundial, 2016).</w:t>
      </w:r>
    </w:p>
  </w:endnote>
  <w:endnote w:id="3">
    <w:p w:rsidR="0090719B" w:rsidRPr="007E4FB9" w:rsidRDefault="0090719B" w:rsidP="003653A1">
      <w:pPr>
        <w:pStyle w:val="Notedefin"/>
        <w:rPr>
          <w:rFonts w:ascii="Times New Roman" w:hAnsi="Times New Roman"/>
          <w:lang w:val="es-ES"/>
        </w:rPr>
      </w:pPr>
      <w:r w:rsidRPr="007E4FB9">
        <w:rPr>
          <w:rStyle w:val="Appeldenotedefin"/>
          <w:rFonts w:ascii="Times New Roman" w:hAnsi="Times New Roman"/>
        </w:rPr>
        <w:endnoteRef/>
      </w:r>
      <w:r w:rsidRPr="007E4FB9">
        <w:rPr>
          <w:rFonts w:ascii="Times New Roman" w:hAnsi="Times New Roman"/>
          <w:lang w:val="es-ES"/>
        </w:rPr>
        <w:t xml:space="preserve"> Chubut (abril de 2003); Río Negro (mayo de 2005 - derogada diciembre de 2011); La Rioja (julio de 2007 - agosto de 2008); Tucumán (julio de 2007)</w:t>
      </w:r>
      <w:r w:rsidR="007E4FB9">
        <w:rPr>
          <w:rFonts w:ascii="Times New Roman" w:hAnsi="Times New Roman"/>
          <w:lang w:val="es-ES"/>
        </w:rPr>
        <w:t xml:space="preserve">; Mendoza (junio de 2007), </w:t>
      </w:r>
      <w:r w:rsidRPr="007E4FB9">
        <w:rPr>
          <w:rFonts w:ascii="Times New Roman" w:hAnsi="Times New Roman"/>
          <w:lang w:val="es-ES"/>
        </w:rPr>
        <w:t>La Pampa (julio de 2007), Córdoba (septiembre de 2008), San Luis (septiembre de 2008) y Tierra del Fuego (abril de 2011).</w:t>
      </w:r>
    </w:p>
  </w:endnote>
  <w:endnote w:id="4">
    <w:p w:rsidR="0090719B" w:rsidRPr="007E4FB9" w:rsidRDefault="0090719B" w:rsidP="00431111">
      <w:pPr>
        <w:spacing w:after="0" w:line="240" w:lineRule="auto"/>
        <w:jc w:val="both"/>
        <w:rPr>
          <w:rFonts w:ascii="Times New Roman" w:hAnsi="Times New Roman"/>
          <w:sz w:val="20"/>
          <w:szCs w:val="20"/>
          <w:lang w:val="es-ES"/>
        </w:rPr>
      </w:pPr>
      <w:r w:rsidRPr="007E4FB9">
        <w:rPr>
          <w:rStyle w:val="Appeldenotedefin"/>
          <w:rFonts w:ascii="Times New Roman" w:hAnsi="Times New Roman"/>
          <w:sz w:val="20"/>
          <w:szCs w:val="20"/>
        </w:rPr>
        <w:endnoteRef/>
      </w:r>
      <w:r w:rsidRPr="007E4FB9">
        <w:rPr>
          <w:rFonts w:ascii="Times New Roman" w:hAnsi="Times New Roman"/>
          <w:sz w:val="20"/>
          <w:szCs w:val="20"/>
          <w:lang w:val="es-ES"/>
        </w:rPr>
        <w:t>Hasta la sanción de la Ley de Glaciares se incluía en la Constitución Nacional, la protección de derechos ambientales (art.41) e indígenas (art.75). A escala internacional, Argentina ratificó, en el 2000, la  Convención 169 de la Organización Internacional del Trabajo (OITque establece el derecho de consulta a las comunidades indígenas frente a un proyecto ex</w:t>
      </w:r>
      <w:r w:rsidR="007E4FB9">
        <w:rPr>
          <w:rFonts w:ascii="Times New Roman" w:hAnsi="Times New Roman"/>
          <w:sz w:val="20"/>
          <w:szCs w:val="20"/>
          <w:lang w:val="es-ES"/>
        </w:rPr>
        <w:t xml:space="preserve">tractivo en su territorio. </w:t>
      </w:r>
    </w:p>
  </w:endnote>
  <w:endnote w:id="5">
    <w:p w:rsidR="0090719B" w:rsidRPr="007E4FB9" w:rsidRDefault="0090719B" w:rsidP="009C7353">
      <w:pPr>
        <w:pStyle w:val="Notedefin"/>
        <w:jc w:val="both"/>
        <w:rPr>
          <w:rFonts w:ascii="Times New Roman" w:hAnsi="Times New Roman"/>
          <w:lang w:val="es-ES"/>
        </w:rPr>
      </w:pPr>
      <w:r w:rsidRPr="007E4FB9">
        <w:rPr>
          <w:rStyle w:val="Appeldenotedefin"/>
          <w:rFonts w:ascii="Times New Roman" w:hAnsi="Times New Roman"/>
        </w:rPr>
        <w:endnoteRef/>
      </w:r>
      <w:r w:rsidRPr="007E4FB9">
        <w:rPr>
          <w:rFonts w:ascii="Times New Roman" w:hAnsi="Times New Roman"/>
          <w:lang w:val="es-ES"/>
        </w:rPr>
        <w:t xml:space="preserve"> El concepto de soberanías en conflicto comparte la idea que la multiescalaridad constituye una característica central de los conflictos socioambientales (Svampa y Antonelli 2009; Svampa y Viale: 2014, p. 200). Sin embargo, la noción de soberanías en conflicto sostiene que no todas las escalas tienen el mismo peso. La escala subnacional es en última instancia donde se ejerce la soberanía sobre los recursos naturales.</w:t>
      </w:r>
    </w:p>
  </w:endnote>
  <w:endnote w:id="6">
    <w:p w:rsidR="0090719B" w:rsidRPr="007E4FB9" w:rsidRDefault="0090719B" w:rsidP="00312CFE">
      <w:pPr>
        <w:spacing w:after="0"/>
        <w:jc w:val="both"/>
        <w:rPr>
          <w:rFonts w:ascii="Times New Roman" w:hAnsi="Times New Roman"/>
          <w:sz w:val="20"/>
          <w:szCs w:val="20"/>
        </w:rPr>
      </w:pPr>
      <w:r w:rsidRPr="007E4FB9">
        <w:rPr>
          <w:rStyle w:val="Appeldenotedefin"/>
          <w:rFonts w:ascii="Times New Roman" w:hAnsi="Times New Roman"/>
          <w:sz w:val="20"/>
          <w:szCs w:val="20"/>
        </w:rPr>
        <w:endnoteRef/>
      </w:r>
      <w:r w:rsidRPr="007E4FB9">
        <w:rPr>
          <w:rFonts w:ascii="Times New Roman" w:hAnsi="Times New Roman"/>
          <w:sz w:val="20"/>
          <w:szCs w:val="20"/>
        </w:rPr>
        <w:t xml:space="preserve"> La Ley General de Ambiente (25.675/02), dicta los principios rectores que guían las políticas ambientales. Se establecen como objetivos de la política ambiental: asegurar la preservación, conservación, recuperación y mejoramiento de la calidad de los recursos ambientales; promover el mejoramiento de la calidad de vida de las generaciones presentes y futuras; y prevenir los efectos nocivos o peligrosos que las actividades antrópicas generan sobre el ambiente posibilitando, además, la sustentabilidad ecológica, económica y social del desarrollo.</w:t>
      </w:r>
    </w:p>
  </w:endnote>
  <w:endnote w:id="7">
    <w:p w:rsidR="0090719B" w:rsidRPr="007E4FB9" w:rsidRDefault="0090719B" w:rsidP="00312CFE">
      <w:pPr>
        <w:pStyle w:val="Notedefin"/>
        <w:rPr>
          <w:rFonts w:ascii="Times New Roman" w:hAnsi="Times New Roman"/>
          <w:lang w:val="es-ES"/>
        </w:rPr>
      </w:pPr>
      <w:r w:rsidRPr="007E4FB9">
        <w:rPr>
          <w:rStyle w:val="Appeldenotedefin"/>
          <w:rFonts w:ascii="Times New Roman" w:hAnsi="Times New Roman"/>
        </w:rPr>
        <w:endnoteRef/>
      </w:r>
      <w:r w:rsidRPr="007E4FB9">
        <w:rPr>
          <w:rFonts w:ascii="Times New Roman" w:hAnsi="Times New Roman"/>
          <w:lang w:val="es-ES"/>
        </w:rPr>
        <w:t>Entrevista con Enrique Viale, presidente de la Comisión de Medio Ambiente del Senado de la Nación por el partido MovimientoProyecto Sur, entrevista con los autores, 12/08/2016.</w:t>
      </w:r>
    </w:p>
  </w:endnote>
  <w:endnote w:id="8">
    <w:p w:rsidR="0090719B" w:rsidRPr="007E4FB9" w:rsidRDefault="0090719B" w:rsidP="00012BA3">
      <w:pPr>
        <w:pStyle w:val="Notedefin"/>
        <w:spacing w:line="240" w:lineRule="atLeast"/>
        <w:jc w:val="both"/>
        <w:rPr>
          <w:rFonts w:ascii="Times New Roman" w:hAnsi="Times New Roman"/>
          <w:lang w:val="es-ES"/>
        </w:rPr>
      </w:pPr>
      <w:r w:rsidRPr="007E4FB9">
        <w:rPr>
          <w:rStyle w:val="Appeldenotedefin"/>
          <w:rFonts w:ascii="Times New Roman" w:hAnsi="Times New Roman"/>
        </w:rPr>
        <w:endnoteRef/>
      </w:r>
      <w:r w:rsidRPr="007E4FB9">
        <w:rPr>
          <w:rFonts w:ascii="Times New Roman" w:hAnsi="Times New Roman"/>
          <w:lang w:val="es-ES"/>
        </w:rPr>
        <w:t xml:space="preserve"> Carta a Diputados y Senadores sobre la Ley de Glaciares, Adolfo Pérez Esquivel Carta Completa disponible en: http://alainet.org/active/27619&amp;lang=es (Último acceso Mayo 2016)</w:t>
      </w:r>
    </w:p>
    <w:p w:rsidR="0090719B" w:rsidRPr="007E4FB9" w:rsidRDefault="0090719B" w:rsidP="005351BD">
      <w:pPr>
        <w:pStyle w:val="Notedefin"/>
        <w:spacing w:line="240" w:lineRule="atLeast"/>
        <w:jc w:val="both"/>
        <w:rPr>
          <w:rFonts w:ascii="Times New Roman" w:hAnsi="Times New Roman"/>
          <w:lang w:val="es-ES"/>
        </w:rPr>
      </w:pPr>
      <w:r w:rsidRPr="007E4FB9">
        <w:rPr>
          <w:rFonts w:ascii="Times New Roman" w:hAnsi="Times New Roman"/>
          <w:lang w:val="es-ES"/>
        </w:rPr>
        <w:t xml:space="preserve">Las organizaciones que enviaron la “Carta de ONGs a la Presidenta Cristina Fernández con motivo del veto de la ley de Protección de Glaciares” fueron: Greenpeace, Fundación Vida Silvestre Argentina, Conciencia Solidaria, Amigos de la Tierra, Taller Ecologista, CTERA y Fundación ECOSUR. Carta completa disponible en: http://www.greenpeace.org/argentina/es/noticias/carta-de-ongs-a-la-presidenta/ (Último acceso Mayo 2014). </w:t>
      </w:r>
    </w:p>
  </w:endnote>
  <w:endnote w:id="9">
    <w:p w:rsidR="0090719B" w:rsidRPr="007E4FB9" w:rsidRDefault="0090719B" w:rsidP="00BA32AE">
      <w:pPr>
        <w:pStyle w:val="Paragraphedeliste"/>
        <w:spacing w:after="0" w:line="240" w:lineRule="auto"/>
        <w:ind w:left="0"/>
        <w:jc w:val="both"/>
        <w:rPr>
          <w:rFonts w:ascii="Times New Roman" w:eastAsia="SimSun" w:hAnsi="Times New Roman"/>
          <w:kern w:val="1"/>
          <w:sz w:val="24"/>
          <w:szCs w:val="24"/>
          <w:lang w:val="es-ES" w:eastAsia="hi-IN" w:bidi="hi-IN"/>
        </w:rPr>
      </w:pPr>
      <w:r w:rsidRPr="007E4FB9">
        <w:rPr>
          <w:rStyle w:val="Appeldenotedefin"/>
          <w:rFonts w:ascii="Times New Roman" w:hAnsi="Times New Roman"/>
          <w:sz w:val="20"/>
          <w:szCs w:val="20"/>
        </w:rPr>
        <w:endnoteRef/>
      </w:r>
      <w:r w:rsidRPr="007E4FB9">
        <w:rPr>
          <w:rFonts w:ascii="Times New Roman" w:hAnsi="Times New Roman"/>
          <w:sz w:val="20"/>
          <w:szCs w:val="20"/>
          <w:lang w:val="es-ES"/>
        </w:rPr>
        <w:t xml:space="preserve"> Nos referimos al documento “Defendamos nuestra fábrica de agua: 10 razones para apoyar la Ley de protección de los Glaciares sancionada por la Cámara de Diputados” </w:t>
      </w:r>
      <w:hyperlink r:id="rId1" w:history="1">
        <w:r w:rsidRPr="007E4FB9">
          <w:rPr>
            <w:rStyle w:val="Lienhypertexte"/>
            <w:rFonts w:ascii="Times New Roman" w:hAnsi="Times New Roman"/>
            <w:sz w:val="20"/>
            <w:szCs w:val="20"/>
            <w:lang w:val="es-ES"/>
          </w:rPr>
          <w:t>http://www.maristellasvampa.net/archivos/ddhh09.pdf</w:t>
        </w:r>
      </w:hyperlink>
      <w:r w:rsidRPr="007E4FB9">
        <w:rPr>
          <w:rFonts w:ascii="Times New Roman" w:eastAsia="SimSun" w:hAnsi="Times New Roman"/>
          <w:kern w:val="1"/>
          <w:sz w:val="20"/>
          <w:szCs w:val="20"/>
          <w:lang w:val="es-ES" w:eastAsia="hi-IN" w:bidi="hi-IN"/>
        </w:rPr>
        <w:t>(Consultado en Internet el 5 de diciembre de 2016</w:t>
      </w:r>
      <w:r w:rsidRPr="007E4FB9">
        <w:rPr>
          <w:rFonts w:ascii="Times New Roman" w:eastAsia="SimSun" w:hAnsi="Times New Roman"/>
          <w:kern w:val="1"/>
          <w:sz w:val="24"/>
          <w:szCs w:val="24"/>
          <w:lang w:val="es-ES" w:eastAsia="hi-IN" w:bidi="hi-IN"/>
        </w:rPr>
        <w:t>).</w:t>
      </w:r>
    </w:p>
  </w:endnote>
  <w:endnote w:id="10">
    <w:p w:rsidR="0090719B" w:rsidRPr="007E4FB9" w:rsidRDefault="0090719B" w:rsidP="005351BD">
      <w:pPr>
        <w:suppressAutoHyphens w:val="0"/>
        <w:autoSpaceDE w:val="0"/>
        <w:autoSpaceDN w:val="0"/>
        <w:adjustRightInd w:val="0"/>
        <w:spacing w:after="0" w:line="240" w:lineRule="atLeast"/>
        <w:jc w:val="both"/>
        <w:rPr>
          <w:rFonts w:ascii="Times New Roman" w:hAnsi="Times New Roman"/>
          <w:sz w:val="20"/>
          <w:szCs w:val="20"/>
          <w:lang w:val="es-ES"/>
        </w:rPr>
      </w:pPr>
      <w:r w:rsidRPr="007E4FB9">
        <w:rPr>
          <w:rStyle w:val="Appeldenotedefin"/>
          <w:rFonts w:ascii="Times New Roman" w:hAnsi="Times New Roman"/>
          <w:sz w:val="20"/>
          <w:szCs w:val="20"/>
        </w:rPr>
        <w:endnoteRef/>
      </w:r>
      <w:r w:rsidRPr="007E4FB9">
        <w:rPr>
          <w:rFonts w:ascii="Times New Roman" w:eastAsia="Calibri" w:hAnsi="Times New Roman"/>
          <w:sz w:val="20"/>
          <w:szCs w:val="20"/>
          <w:lang w:val="es-ES"/>
        </w:rPr>
        <w:t>La ley encomienda al IANIGLA la tarea de realizar el inventario nacional de Glaciares para su adecuada protección, control y monitoreo” (art 3 Ley 26.639). A partir del tal inventario, la ley fija en su artículo 6 ciertas prohibiciones en zonas glaciares (instalación de industrias o desarrollo de obras o actividades industriales, la construcción de obras de arquitectura o infraestructura con excepción de aquellas necesarias para la investigación científica y las prevenciones de riesgos. Complementariamente el mismo artículo prohíbe tanto en zona glaciar como periglacial: la liberación, dispersión o disposición de sustancias o elementos contaminantes, pro</w:t>
      </w:r>
      <w:r w:rsidRPr="007E4FB9">
        <w:rPr>
          <w:rFonts w:ascii="Times New Roman" w:eastAsia="Calibri" w:hAnsi="Times New Roman"/>
          <w:sz w:val="20"/>
          <w:szCs w:val="20"/>
          <w:lang w:val="es-ES"/>
        </w:rPr>
        <w:softHyphen/>
        <w:t>ductos químicos o residuos de cualquier naturaleza o volumen, como así también la exploración y explotación minera e hidrocarburífera.</w:t>
      </w:r>
    </w:p>
  </w:endnote>
  <w:endnote w:id="11">
    <w:p w:rsidR="0090719B" w:rsidRPr="007E4FB9" w:rsidRDefault="0090719B" w:rsidP="00EE0CEE">
      <w:pPr>
        <w:pStyle w:val="Notedefin"/>
        <w:rPr>
          <w:rFonts w:ascii="Times New Roman" w:hAnsi="Times New Roman"/>
          <w:lang w:val="es-ES"/>
        </w:rPr>
      </w:pPr>
      <w:r w:rsidRPr="007E4FB9">
        <w:rPr>
          <w:rStyle w:val="Appeldenotedefin"/>
          <w:rFonts w:ascii="Times New Roman" w:hAnsi="Times New Roman"/>
        </w:rPr>
        <w:endnoteRef/>
      </w:r>
      <w:r w:rsidRPr="007E4FB9">
        <w:rPr>
          <w:rFonts w:ascii="Times New Roman" w:hAnsi="Times New Roman"/>
          <w:lang w:val="es-ES"/>
        </w:rPr>
        <w:t xml:space="preserve"> Disponible en: http://wp.cedha.net/wp-content/uploads/2011/04/glaciares-docs-ley-glaciares-declaracion-gobernadores.doc (Último acceso: abril 2016). </w:t>
      </w:r>
    </w:p>
  </w:endnote>
  <w:endnote w:id="12">
    <w:p w:rsidR="0090719B" w:rsidRPr="007E4FB9" w:rsidRDefault="0090719B" w:rsidP="00BA32AE">
      <w:pPr>
        <w:autoSpaceDE w:val="0"/>
        <w:autoSpaceDN w:val="0"/>
        <w:adjustRightInd w:val="0"/>
        <w:spacing w:after="0" w:line="240" w:lineRule="auto"/>
        <w:rPr>
          <w:rFonts w:ascii="Times New Roman" w:eastAsia="Calibri" w:hAnsi="Times New Roman"/>
          <w:sz w:val="20"/>
          <w:szCs w:val="20"/>
          <w:lang w:val="es-ES" w:eastAsia="en-US"/>
        </w:rPr>
      </w:pPr>
      <w:r w:rsidRPr="007E4FB9">
        <w:rPr>
          <w:rStyle w:val="Appeldenotedefin"/>
          <w:rFonts w:ascii="Times New Roman" w:hAnsi="Times New Roman"/>
        </w:rPr>
        <w:endnoteRef/>
      </w:r>
      <w:r w:rsidRPr="007E4FB9">
        <w:rPr>
          <w:rFonts w:ascii="Times New Roman" w:eastAsia="Calibri" w:hAnsi="Times New Roman"/>
          <w:sz w:val="20"/>
          <w:szCs w:val="20"/>
          <w:lang w:val="es-ES" w:eastAsia="en-US"/>
        </w:rPr>
        <w:t>Santa Cruz (ley 3123, 8 de abril de 2010), La Rioja (Ley 8773, 8 de julio de 2010), Jujuy (Ley 5467, 8 de julio de 2010), San Juan (Ley 8144, 14 de Julio de 2010) y Salta (Ley 7625, 3 de agosto de 2010).</w:t>
      </w:r>
    </w:p>
  </w:endnote>
  <w:endnote w:id="13">
    <w:p w:rsidR="0090719B" w:rsidRPr="007E4FB9" w:rsidRDefault="0090719B" w:rsidP="009C7353">
      <w:pPr>
        <w:pStyle w:val="Notedefin"/>
        <w:jc w:val="both"/>
        <w:rPr>
          <w:rFonts w:ascii="Times New Roman" w:hAnsi="Times New Roman"/>
          <w:lang w:val="es-ES"/>
        </w:rPr>
      </w:pPr>
      <w:r w:rsidRPr="007E4FB9">
        <w:rPr>
          <w:rStyle w:val="Appeldenotedefin"/>
          <w:rFonts w:ascii="Times New Roman" w:hAnsi="Times New Roman"/>
        </w:rPr>
        <w:endnoteRef/>
      </w:r>
      <w:r w:rsidRPr="007E4FB9">
        <w:rPr>
          <w:rFonts w:ascii="Times New Roman" w:hAnsi="Times New Roman"/>
          <w:lang w:val="es-ES"/>
        </w:rPr>
        <w:t>Actualmente el presidente y el vicepresidente de la Comisión de Minería de la cámara de Diputados de la Nación pertenecen a la provincia de San Juan. En Senado la presidencia quedó en manos de un senador neuquino y la vicepresidencia en manos de una senadora sanjuanina. Asimismo, entre 2005 y 2011 estuvo al frente de esta última, César Gioja (FPV), hermano del gobernador de San Juan.</w:t>
      </w:r>
    </w:p>
    <w:p w:rsidR="0090719B" w:rsidRDefault="0090719B" w:rsidP="009C7353">
      <w:pPr>
        <w:pStyle w:val="Notedefin"/>
        <w:jc w:val="both"/>
        <w:rPr>
          <w:rFonts w:ascii="Times New Roman" w:hAnsi="Times New Roman"/>
          <w:lang w:val="es-ES"/>
        </w:rPr>
      </w:pPr>
    </w:p>
    <w:p w:rsidR="0090719B" w:rsidRDefault="0090719B" w:rsidP="009C7353">
      <w:pPr>
        <w:pStyle w:val="Notedefin"/>
        <w:jc w:val="both"/>
        <w:rPr>
          <w:rFonts w:ascii="Times New Roman" w:hAnsi="Times New Roman"/>
          <w:lang w:val="es-ES"/>
        </w:rPr>
      </w:pPr>
    </w:p>
    <w:p w:rsidR="0090719B" w:rsidRDefault="0090719B" w:rsidP="009C7353">
      <w:pPr>
        <w:pStyle w:val="Notedefin"/>
        <w:jc w:val="both"/>
        <w:rPr>
          <w:rFonts w:ascii="Times New Roman" w:hAnsi="Times New Roman"/>
          <w:lang w:val="es-ES"/>
        </w:rPr>
      </w:pPr>
    </w:p>
    <w:p w:rsidR="0090719B" w:rsidRDefault="0090719B"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7E4FB9" w:rsidRDefault="007E4FB9" w:rsidP="009C7353">
      <w:pPr>
        <w:pStyle w:val="Notedefin"/>
        <w:jc w:val="both"/>
        <w:rPr>
          <w:rFonts w:ascii="Times New Roman" w:hAnsi="Times New Roman"/>
          <w:lang w:val="es-ES"/>
        </w:rPr>
      </w:pPr>
    </w:p>
    <w:p w:rsidR="0090719B" w:rsidRDefault="0090719B" w:rsidP="00431111">
      <w:pPr>
        <w:suppressAutoHyphens w:val="0"/>
        <w:spacing w:after="0" w:line="240" w:lineRule="auto"/>
        <w:jc w:val="both"/>
        <w:rPr>
          <w:rFonts w:ascii="Times New Roman" w:hAnsi="Times New Roman"/>
          <w:b/>
          <w:sz w:val="24"/>
          <w:szCs w:val="24"/>
          <w:lang w:val="es-ES" w:eastAsia="fr-CA"/>
        </w:rPr>
      </w:pPr>
      <w:r w:rsidRPr="008A2D83">
        <w:rPr>
          <w:rFonts w:ascii="Times New Roman" w:hAnsi="Times New Roman"/>
          <w:b/>
          <w:sz w:val="24"/>
          <w:szCs w:val="24"/>
          <w:lang w:val="es-ES" w:eastAsia="fr-CA"/>
        </w:rPr>
        <w:t>Referencias</w:t>
      </w:r>
    </w:p>
    <w:p w:rsidR="0090719B" w:rsidRPr="00850CAD" w:rsidRDefault="0090719B" w:rsidP="00431111">
      <w:pPr>
        <w:suppressAutoHyphens w:val="0"/>
        <w:spacing w:after="0" w:line="240" w:lineRule="auto"/>
        <w:jc w:val="both"/>
        <w:rPr>
          <w:rFonts w:ascii="Times New Roman" w:hAnsi="Times New Roman"/>
          <w:b/>
          <w:sz w:val="24"/>
          <w:szCs w:val="24"/>
          <w:lang w:val="es-ES" w:eastAsia="fr-CA"/>
        </w:rPr>
      </w:pPr>
    </w:p>
    <w:p w:rsidR="0090719B" w:rsidRDefault="0090719B" w:rsidP="00431111">
      <w:pPr>
        <w:pStyle w:val="Paragraphedeliste"/>
        <w:spacing w:after="0" w:line="240" w:lineRule="auto"/>
        <w:ind w:left="644"/>
        <w:rPr>
          <w:rFonts w:ascii="Times New Roman" w:eastAsia="SimSun" w:hAnsi="Times New Roman"/>
          <w:kern w:val="1"/>
          <w:sz w:val="24"/>
          <w:szCs w:val="24"/>
          <w:lang w:val="es-ES" w:eastAsia="hi-IN" w:bidi="hi-IN"/>
        </w:rPr>
      </w:pPr>
      <w:r>
        <w:rPr>
          <w:rFonts w:ascii="Times New Roman" w:eastAsia="SimSun" w:hAnsi="Times New Roman"/>
          <w:kern w:val="1"/>
          <w:sz w:val="24"/>
          <w:szCs w:val="24"/>
          <w:lang w:val="es-ES" w:eastAsia="hi-IN" w:bidi="hi-IN"/>
        </w:rPr>
        <w:t>Aráoz Machado, H.</w:t>
      </w:r>
      <w:r w:rsidRPr="00BA32AE">
        <w:rPr>
          <w:rFonts w:ascii="Times New Roman" w:eastAsia="SimSun" w:hAnsi="Times New Roman"/>
          <w:i/>
          <w:kern w:val="1"/>
          <w:sz w:val="24"/>
          <w:szCs w:val="24"/>
          <w:lang w:val="es-ES" w:eastAsia="hi-IN" w:bidi="hi-IN"/>
        </w:rPr>
        <w:t>et al</w:t>
      </w:r>
      <w:r w:rsidRPr="00BA32AE">
        <w:rPr>
          <w:rFonts w:ascii="Times New Roman" w:eastAsia="SimSun" w:hAnsi="Times New Roman"/>
          <w:kern w:val="1"/>
          <w:sz w:val="24"/>
          <w:szCs w:val="24"/>
          <w:lang w:val="es-ES" w:eastAsia="hi-IN" w:bidi="hi-IN"/>
        </w:rPr>
        <w:t xml:space="preserve">. (2011). </w:t>
      </w:r>
      <w:r w:rsidRPr="00BA32AE">
        <w:rPr>
          <w:rFonts w:ascii="Times New Roman" w:eastAsia="SimSun" w:hAnsi="Times New Roman"/>
          <w:i/>
          <w:kern w:val="1"/>
          <w:sz w:val="24"/>
          <w:szCs w:val="24"/>
          <w:lang w:val="es-ES" w:eastAsia="hi-IN" w:bidi="hi-IN"/>
        </w:rPr>
        <w:t>15 mitos y realidades de la minería transnacional en la Argentina. Guía para desmontar el imaginario prominero, Buenos Aires</w:t>
      </w:r>
      <w:r w:rsidRPr="00BA32AE">
        <w:rPr>
          <w:rFonts w:ascii="Times New Roman" w:eastAsia="SimSun" w:hAnsi="Times New Roman"/>
          <w:kern w:val="1"/>
          <w:sz w:val="24"/>
          <w:szCs w:val="24"/>
          <w:lang w:val="es-ES" w:eastAsia="hi-IN" w:bidi="hi-IN"/>
        </w:rPr>
        <w:t>: El colectivo, Herramienta.</w:t>
      </w:r>
    </w:p>
    <w:p w:rsidR="0090719B" w:rsidRPr="006C2873" w:rsidRDefault="0090719B" w:rsidP="00431111">
      <w:pPr>
        <w:pStyle w:val="Paragraphedeliste"/>
        <w:spacing w:after="0" w:line="240" w:lineRule="auto"/>
        <w:ind w:left="644"/>
        <w:rPr>
          <w:rFonts w:ascii="Times New Roman" w:eastAsia="SimSun" w:hAnsi="Times New Roman"/>
          <w:kern w:val="1"/>
          <w:sz w:val="24"/>
          <w:szCs w:val="24"/>
          <w:lang w:val="en-CA" w:eastAsia="hi-IN" w:bidi="hi-IN"/>
        </w:rPr>
      </w:pPr>
      <w:r w:rsidRPr="006C2873">
        <w:rPr>
          <w:rFonts w:ascii="Times New Roman" w:eastAsia="SimSun" w:hAnsi="Times New Roman"/>
          <w:kern w:val="1"/>
          <w:sz w:val="24"/>
          <w:szCs w:val="24"/>
          <w:lang w:val="en-CA" w:eastAsia="hi-IN" w:bidi="hi-IN"/>
        </w:rPr>
        <w:t xml:space="preserve">Arsela, M., Hogenboomb, B, Pellegrini, L. </w:t>
      </w:r>
      <w:r>
        <w:rPr>
          <w:rFonts w:ascii="Times New Roman" w:eastAsia="SimSun" w:hAnsi="Times New Roman"/>
          <w:kern w:val="1"/>
          <w:sz w:val="24"/>
          <w:szCs w:val="24"/>
          <w:lang w:val="en-CA" w:eastAsia="hi-IN" w:bidi="hi-IN"/>
        </w:rPr>
        <w:t>“</w:t>
      </w:r>
      <w:r w:rsidRPr="006C2873">
        <w:rPr>
          <w:rFonts w:ascii="Times New Roman" w:eastAsia="SimSun" w:hAnsi="Times New Roman"/>
          <w:kern w:val="1"/>
          <w:sz w:val="24"/>
          <w:szCs w:val="24"/>
          <w:lang w:val="en-CA" w:eastAsia="hi-IN" w:bidi="hi-IN"/>
        </w:rPr>
        <w:t>The extractive imperative and the boom in environmental conflicts at the end of the progressive cycle in Latin America</w:t>
      </w:r>
      <w:r>
        <w:rPr>
          <w:rFonts w:ascii="Times New Roman" w:eastAsia="SimSun" w:hAnsi="Times New Roman"/>
          <w:kern w:val="1"/>
          <w:sz w:val="24"/>
          <w:szCs w:val="24"/>
          <w:lang w:val="en-CA" w:eastAsia="hi-IN" w:bidi="hi-IN"/>
        </w:rPr>
        <w:t xml:space="preserve">” (número especial), </w:t>
      </w:r>
      <w:r w:rsidRPr="006C2873">
        <w:rPr>
          <w:rFonts w:ascii="Times New Roman" w:eastAsia="SimSun" w:hAnsi="Times New Roman"/>
          <w:i/>
          <w:kern w:val="1"/>
          <w:sz w:val="24"/>
          <w:szCs w:val="24"/>
          <w:lang w:val="en-CA" w:eastAsia="hi-IN" w:bidi="hi-IN"/>
        </w:rPr>
        <w:t>The Extractive Industries and Society</w:t>
      </w:r>
      <w:r>
        <w:rPr>
          <w:rFonts w:ascii="Times New Roman" w:eastAsia="SimSun" w:hAnsi="Times New Roman"/>
          <w:kern w:val="1"/>
          <w:sz w:val="24"/>
          <w:szCs w:val="24"/>
          <w:lang w:val="en-CA" w:eastAsia="hi-IN" w:bidi="hi-IN"/>
        </w:rPr>
        <w:t>, 3 (4), 877-879.</w:t>
      </w:r>
    </w:p>
    <w:p w:rsidR="0090719B" w:rsidRDefault="0090719B" w:rsidP="00431111">
      <w:pPr>
        <w:pStyle w:val="Paragraphedeliste"/>
        <w:spacing w:after="0" w:line="240" w:lineRule="auto"/>
        <w:ind w:left="644"/>
        <w:rPr>
          <w:rFonts w:ascii="Times New Roman" w:eastAsia="SimSun" w:hAnsi="Times New Roman"/>
          <w:kern w:val="1"/>
          <w:sz w:val="24"/>
          <w:szCs w:val="24"/>
          <w:lang w:val="es-ES" w:eastAsia="hi-IN" w:bidi="hi-IN"/>
        </w:rPr>
      </w:pPr>
      <w:r w:rsidRPr="00BA32AE">
        <w:rPr>
          <w:rFonts w:ascii="Times New Roman" w:eastAsia="SimSun" w:hAnsi="Times New Roman"/>
          <w:kern w:val="1"/>
          <w:sz w:val="24"/>
          <w:szCs w:val="24"/>
          <w:lang w:val="es-ES" w:eastAsia="hi-IN" w:bidi="hi-IN"/>
        </w:rPr>
        <w:t xml:space="preserve">Banco Mundial. </w:t>
      </w:r>
      <w:r>
        <w:rPr>
          <w:rFonts w:ascii="Times New Roman" w:eastAsia="SimSun" w:hAnsi="Times New Roman"/>
          <w:kern w:val="1"/>
          <w:sz w:val="24"/>
          <w:szCs w:val="24"/>
          <w:lang w:val="es-ES" w:eastAsia="hi-IN" w:bidi="hi-IN"/>
        </w:rPr>
        <w:t>(</w:t>
      </w:r>
      <w:r w:rsidRPr="00BA32AE">
        <w:rPr>
          <w:rFonts w:ascii="Times New Roman" w:eastAsia="SimSun" w:hAnsi="Times New Roman"/>
          <w:kern w:val="1"/>
          <w:sz w:val="24"/>
          <w:szCs w:val="24"/>
          <w:lang w:val="es-ES" w:eastAsia="hi-IN" w:bidi="hi-IN"/>
        </w:rPr>
        <w:t>2016</w:t>
      </w:r>
      <w:r>
        <w:rPr>
          <w:rFonts w:ascii="Times New Roman" w:eastAsia="SimSun" w:hAnsi="Times New Roman"/>
          <w:kern w:val="1"/>
          <w:sz w:val="24"/>
          <w:szCs w:val="24"/>
          <w:lang w:val="es-ES" w:eastAsia="hi-IN" w:bidi="hi-IN"/>
        </w:rPr>
        <w:t>)</w:t>
      </w:r>
      <w:r w:rsidRPr="00BA32AE">
        <w:rPr>
          <w:rFonts w:ascii="Times New Roman" w:eastAsia="SimSun" w:hAnsi="Times New Roman"/>
          <w:kern w:val="1"/>
          <w:sz w:val="24"/>
          <w:szCs w:val="24"/>
          <w:lang w:val="es-ES" w:eastAsia="hi-IN" w:bidi="hi-IN"/>
        </w:rPr>
        <w:t xml:space="preserve">. </w:t>
      </w:r>
      <w:r w:rsidRPr="00850CAD">
        <w:rPr>
          <w:rFonts w:ascii="Times New Roman" w:eastAsia="SimSun" w:hAnsi="Times New Roman"/>
          <w:kern w:val="1"/>
          <w:sz w:val="24"/>
          <w:szCs w:val="24"/>
          <w:lang w:val="es-ES" w:eastAsia="hi-IN" w:bidi="hi-IN"/>
        </w:rPr>
        <w:t>Argentina Análisis Ambiental del País,</w:t>
      </w:r>
      <w:hyperlink r:id="rId2" w:history="1">
        <w:r w:rsidRPr="00DA48EB">
          <w:rPr>
            <w:rStyle w:val="Lienhypertexte"/>
            <w:rFonts w:ascii="Times New Roman" w:eastAsia="SimSun" w:hAnsi="Times New Roman"/>
            <w:kern w:val="1"/>
            <w:sz w:val="24"/>
            <w:szCs w:val="24"/>
            <w:lang w:val="es-ES" w:eastAsia="hi-IN" w:bidi="hi-IN"/>
          </w:rPr>
          <w:t>http://documents.worldbank.org/curated/en/552861477562038992/Argentina-An%C3%A1lisis-Ambiental-de-Pa%C3%ADs-serie-de-informes-t%C3%A9cnicos</w:t>
        </w:r>
      </w:hyperlink>
      <w:r>
        <w:rPr>
          <w:rFonts w:ascii="Times New Roman" w:eastAsia="SimSun" w:hAnsi="Times New Roman"/>
          <w:kern w:val="1"/>
          <w:sz w:val="24"/>
          <w:szCs w:val="24"/>
          <w:lang w:val="es-ES" w:eastAsia="hi-IN" w:bidi="hi-IN"/>
        </w:rPr>
        <w:t xml:space="preserve"> (Consultado en Internet el 5 de diciembre de 2016). </w:t>
      </w:r>
    </w:p>
    <w:p w:rsidR="0090719B" w:rsidRPr="0090719B" w:rsidRDefault="0090719B" w:rsidP="006C2873">
      <w:pPr>
        <w:pStyle w:val="Paragraphedeliste"/>
        <w:spacing w:after="0" w:line="240" w:lineRule="auto"/>
        <w:ind w:left="644"/>
        <w:rPr>
          <w:rFonts w:ascii="Times New Roman" w:eastAsia="SimSun" w:hAnsi="Times New Roman"/>
          <w:i/>
          <w:kern w:val="1"/>
          <w:sz w:val="24"/>
          <w:szCs w:val="24"/>
          <w:lang w:val="en-US" w:eastAsia="hi-IN" w:bidi="hi-IN"/>
        </w:rPr>
      </w:pPr>
      <w:r w:rsidRPr="006C2873">
        <w:rPr>
          <w:rFonts w:ascii="Times New Roman" w:eastAsia="SimSun" w:hAnsi="Times New Roman"/>
          <w:kern w:val="1"/>
          <w:sz w:val="24"/>
          <w:szCs w:val="24"/>
          <w:lang w:val="en-CA" w:eastAsia="hi-IN" w:bidi="hi-IN"/>
        </w:rPr>
        <w:t>B</w:t>
      </w:r>
      <w:r>
        <w:rPr>
          <w:rFonts w:ascii="Times New Roman" w:eastAsia="SimSun" w:hAnsi="Times New Roman"/>
          <w:kern w:val="1"/>
          <w:sz w:val="24"/>
          <w:szCs w:val="24"/>
          <w:lang w:val="en-CA" w:eastAsia="hi-IN" w:bidi="hi-IN"/>
        </w:rPr>
        <w:t>ebbington, A., Bury, J. (Eds.). (</w:t>
      </w:r>
      <w:r w:rsidRPr="006C2873">
        <w:rPr>
          <w:rFonts w:ascii="Times New Roman" w:eastAsia="SimSun" w:hAnsi="Times New Roman"/>
          <w:kern w:val="1"/>
          <w:sz w:val="24"/>
          <w:szCs w:val="24"/>
          <w:lang w:val="en-CA" w:eastAsia="hi-IN" w:bidi="hi-IN"/>
        </w:rPr>
        <w:t>2013</w:t>
      </w:r>
      <w:r>
        <w:rPr>
          <w:rFonts w:ascii="Times New Roman" w:eastAsia="SimSun" w:hAnsi="Times New Roman"/>
          <w:kern w:val="1"/>
          <w:sz w:val="24"/>
          <w:szCs w:val="24"/>
          <w:lang w:val="en-CA" w:eastAsia="hi-IN" w:bidi="hi-IN"/>
        </w:rPr>
        <w:t>)</w:t>
      </w:r>
      <w:r w:rsidRPr="006C2873">
        <w:rPr>
          <w:rFonts w:ascii="Times New Roman" w:eastAsia="SimSun" w:hAnsi="Times New Roman"/>
          <w:kern w:val="1"/>
          <w:sz w:val="24"/>
          <w:szCs w:val="24"/>
          <w:lang w:val="en-CA" w:eastAsia="hi-IN" w:bidi="hi-IN"/>
        </w:rPr>
        <w:t xml:space="preserve">. </w:t>
      </w:r>
      <w:r w:rsidRPr="006C2873">
        <w:rPr>
          <w:rFonts w:ascii="Times New Roman" w:eastAsia="SimSun" w:hAnsi="Times New Roman"/>
          <w:i/>
          <w:kern w:val="1"/>
          <w:sz w:val="24"/>
          <w:szCs w:val="24"/>
          <w:lang w:val="en-CA" w:eastAsia="hi-IN" w:bidi="hi-IN"/>
        </w:rPr>
        <w:t>Struggles: New D</w:t>
      </w:r>
      <w:r>
        <w:rPr>
          <w:rFonts w:ascii="Times New Roman" w:eastAsia="SimSun" w:hAnsi="Times New Roman"/>
          <w:i/>
          <w:kern w:val="1"/>
          <w:sz w:val="24"/>
          <w:szCs w:val="24"/>
          <w:lang w:val="en-CA" w:eastAsia="hi-IN" w:bidi="hi-IN"/>
        </w:rPr>
        <w:t xml:space="preserve">ynamics of Mining, Oil, and Gas </w:t>
      </w:r>
      <w:r w:rsidRPr="006C2873">
        <w:rPr>
          <w:rFonts w:ascii="Times New Roman" w:eastAsia="SimSun" w:hAnsi="Times New Roman"/>
          <w:i/>
          <w:kern w:val="1"/>
          <w:sz w:val="24"/>
          <w:szCs w:val="24"/>
          <w:lang w:val="en-CA" w:eastAsia="hi-IN" w:bidi="hi-IN"/>
        </w:rPr>
        <w:t>in Latin America.</w:t>
      </w:r>
      <w:r w:rsidRPr="0090719B">
        <w:rPr>
          <w:rFonts w:ascii="Times New Roman" w:eastAsia="SimSun" w:hAnsi="Times New Roman"/>
          <w:kern w:val="1"/>
          <w:sz w:val="24"/>
          <w:szCs w:val="24"/>
          <w:lang w:val="en-US" w:eastAsia="hi-IN" w:bidi="hi-IN"/>
        </w:rPr>
        <w:t>University of Texas Press, Austin.</w:t>
      </w:r>
    </w:p>
    <w:p w:rsidR="0090719B" w:rsidRDefault="0090719B" w:rsidP="00431111">
      <w:pPr>
        <w:pStyle w:val="Paragraphedeliste"/>
        <w:ind w:left="644"/>
        <w:rPr>
          <w:rFonts w:ascii="Times New Roman" w:eastAsia="SimSun" w:hAnsi="Times New Roman"/>
          <w:kern w:val="1"/>
          <w:sz w:val="24"/>
          <w:szCs w:val="24"/>
          <w:lang w:val="es-ES" w:eastAsia="hi-IN" w:bidi="hi-IN"/>
        </w:rPr>
      </w:pPr>
      <w:r>
        <w:rPr>
          <w:rFonts w:ascii="Times New Roman" w:eastAsia="SimSun" w:hAnsi="Times New Roman"/>
          <w:kern w:val="1"/>
          <w:sz w:val="24"/>
          <w:szCs w:val="24"/>
          <w:lang w:val="es-ES" w:eastAsia="hi-IN" w:bidi="hi-IN"/>
        </w:rPr>
        <w:t>Bonnasso, M</w:t>
      </w:r>
      <w:r w:rsidRPr="00850CAD">
        <w:rPr>
          <w:rFonts w:ascii="Times New Roman" w:eastAsia="SimSun" w:hAnsi="Times New Roman"/>
          <w:kern w:val="1"/>
          <w:sz w:val="24"/>
          <w:szCs w:val="24"/>
          <w:lang w:val="es-ES" w:eastAsia="hi-IN" w:bidi="hi-IN"/>
        </w:rPr>
        <w:t xml:space="preserve">. </w:t>
      </w:r>
      <w:r>
        <w:rPr>
          <w:rFonts w:ascii="Times New Roman" w:eastAsia="SimSun" w:hAnsi="Times New Roman"/>
          <w:kern w:val="1"/>
          <w:sz w:val="24"/>
          <w:szCs w:val="24"/>
          <w:lang w:val="es-ES" w:eastAsia="hi-IN" w:bidi="hi-IN"/>
        </w:rPr>
        <w:t>(</w:t>
      </w:r>
      <w:r w:rsidRPr="00850CAD">
        <w:rPr>
          <w:rFonts w:ascii="Times New Roman" w:eastAsia="SimSun" w:hAnsi="Times New Roman"/>
          <w:kern w:val="1"/>
          <w:sz w:val="24"/>
          <w:szCs w:val="24"/>
          <w:lang w:val="es-ES" w:eastAsia="hi-IN" w:bidi="hi-IN"/>
        </w:rPr>
        <w:t>2011</w:t>
      </w:r>
      <w:r>
        <w:rPr>
          <w:rFonts w:ascii="Times New Roman" w:eastAsia="SimSun" w:hAnsi="Times New Roman"/>
          <w:kern w:val="1"/>
          <w:sz w:val="24"/>
          <w:szCs w:val="24"/>
          <w:lang w:val="es-ES" w:eastAsia="hi-IN" w:bidi="hi-IN"/>
        </w:rPr>
        <w:t>)</w:t>
      </w:r>
      <w:r w:rsidRPr="00850CAD">
        <w:rPr>
          <w:rFonts w:ascii="Times New Roman" w:eastAsia="SimSun" w:hAnsi="Times New Roman"/>
          <w:kern w:val="1"/>
          <w:sz w:val="24"/>
          <w:szCs w:val="24"/>
          <w:lang w:val="es-ES" w:eastAsia="hi-IN" w:bidi="hi-IN"/>
        </w:rPr>
        <w:t xml:space="preserve">. </w:t>
      </w:r>
      <w:r w:rsidRPr="00431111">
        <w:rPr>
          <w:rFonts w:ascii="Times New Roman" w:eastAsia="SimSun" w:hAnsi="Times New Roman"/>
          <w:i/>
          <w:kern w:val="1"/>
          <w:sz w:val="24"/>
          <w:szCs w:val="24"/>
          <w:lang w:val="es-ES" w:eastAsia="hi-IN" w:bidi="hi-IN"/>
        </w:rPr>
        <w:t>El Mal</w:t>
      </w:r>
      <w:r w:rsidRPr="00850CAD">
        <w:rPr>
          <w:rFonts w:ascii="Times New Roman" w:eastAsia="SimSun" w:hAnsi="Times New Roman"/>
          <w:kern w:val="1"/>
          <w:sz w:val="24"/>
          <w:szCs w:val="24"/>
          <w:lang w:val="es-ES" w:eastAsia="hi-IN" w:bidi="hi-IN"/>
        </w:rPr>
        <w:t xml:space="preserve">. Buenos Aires: Planeta. </w:t>
      </w:r>
    </w:p>
    <w:p w:rsidR="0090719B" w:rsidRDefault="0090719B" w:rsidP="00431111">
      <w:pPr>
        <w:pStyle w:val="Paragraphedeliste"/>
        <w:ind w:left="644"/>
        <w:rPr>
          <w:rFonts w:ascii="Times New Roman" w:eastAsia="SimSun" w:hAnsi="Times New Roman"/>
          <w:kern w:val="1"/>
          <w:sz w:val="24"/>
          <w:szCs w:val="24"/>
          <w:lang w:eastAsia="hi-IN" w:bidi="hi-IN"/>
        </w:rPr>
      </w:pPr>
      <w:r w:rsidRPr="00BA32AE">
        <w:rPr>
          <w:rFonts w:ascii="Times New Roman" w:eastAsia="SimSun" w:hAnsi="Times New Roman"/>
          <w:kern w:val="1"/>
          <w:sz w:val="24"/>
          <w:szCs w:val="24"/>
          <w:lang w:val="es-ES" w:eastAsia="hi-IN" w:bidi="hi-IN"/>
        </w:rPr>
        <w:t>Bottaro</w:t>
      </w:r>
      <w:r>
        <w:rPr>
          <w:rFonts w:ascii="Times New Roman" w:eastAsia="SimSun" w:hAnsi="Times New Roman"/>
          <w:kern w:val="1"/>
          <w:sz w:val="24"/>
          <w:szCs w:val="24"/>
          <w:lang w:val="es-ES" w:eastAsia="hi-IN" w:bidi="hi-IN"/>
        </w:rPr>
        <w:t xml:space="preserve">, L. y </w:t>
      </w:r>
      <w:r w:rsidRPr="00BA32AE">
        <w:rPr>
          <w:rFonts w:ascii="Times New Roman" w:eastAsia="SimSun" w:hAnsi="Times New Roman"/>
          <w:kern w:val="1"/>
          <w:sz w:val="24"/>
          <w:szCs w:val="24"/>
          <w:lang w:val="es-ES" w:eastAsia="hi-IN" w:bidi="hi-IN"/>
        </w:rPr>
        <w:t>Sola Á</w:t>
      </w:r>
      <w:r>
        <w:rPr>
          <w:rFonts w:ascii="Times New Roman" w:eastAsia="SimSun" w:hAnsi="Times New Roman"/>
          <w:kern w:val="1"/>
          <w:sz w:val="24"/>
          <w:szCs w:val="24"/>
          <w:lang w:val="es-ES" w:eastAsia="hi-IN" w:bidi="hi-IN"/>
        </w:rPr>
        <w:t>lvarez, M. (</w:t>
      </w:r>
      <w:r w:rsidRPr="00431111">
        <w:rPr>
          <w:rFonts w:ascii="Times New Roman" w:eastAsia="SimSun" w:hAnsi="Times New Roman"/>
          <w:kern w:val="1"/>
          <w:sz w:val="24"/>
          <w:szCs w:val="24"/>
          <w:lang w:val="es-ES" w:eastAsia="hi-IN" w:bidi="hi-IN"/>
        </w:rPr>
        <w:t>2016</w:t>
      </w:r>
      <w:r>
        <w:rPr>
          <w:rFonts w:ascii="Times New Roman" w:eastAsia="SimSun" w:hAnsi="Times New Roman"/>
          <w:kern w:val="1"/>
          <w:sz w:val="24"/>
          <w:szCs w:val="24"/>
          <w:lang w:val="es-ES" w:eastAsia="hi-IN" w:bidi="hi-IN"/>
        </w:rPr>
        <w:t>)</w:t>
      </w:r>
      <w:r w:rsidRPr="00431111">
        <w:rPr>
          <w:rFonts w:ascii="Times New Roman" w:eastAsia="SimSun" w:hAnsi="Times New Roman"/>
          <w:kern w:val="1"/>
          <w:sz w:val="24"/>
          <w:szCs w:val="24"/>
          <w:lang w:val="es-ES" w:eastAsia="hi-IN" w:bidi="hi-IN"/>
        </w:rPr>
        <w:t xml:space="preserve">. </w:t>
      </w:r>
      <w:r w:rsidRPr="00BA32AE">
        <w:rPr>
          <w:rFonts w:ascii="Times New Roman" w:eastAsia="SimSun" w:hAnsi="Times New Roman"/>
          <w:kern w:val="1"/>
          <w:sz w:val="24"/>
          <w:szCs w:val="24"/>
          <w:lang w:eastAsia="hi-IN" w:bidi="hi-IN"/>
        </w:rPr>
        <w:t>La politisation des glaciers en Argentine : uneanalyse de l’application de la loi nationale sur lesglaciers (2010)</w:t>
      </w:r>
      <w:r>
        <w:rPr>
          <w:rFonts w:ascii="Times New Roman" w:eastAsia="SimSun" w:hAnsi="Times New Roman"/>
          <w:kern w:val="1"/>
          <w:sz w:val="24"/>
          <w:szCs w:val="24"/>
          <w:lang w:eastAsia="hi-IN" w:bidi="hi-IN"/>
        </w:rPr>
        <w:t>,</w:t>
      </w:r>
    </w:p>
    <w:p w:rsidR="0090719B" w:rsidRPr="00BA32AE" w:rsidRDefault="0090719B" w:rsidP="00431111">
      <w:pPr>
        <w:pStyle w:val="Paragraphedeliste"/>
        <w:ind w:left="644"/>
        <w:rPr>
          <w:rFonts w:ascii="Times New Roman" w:eastAsia="SimSun" w:hAnsi="Times New Roman"/>
          <w:kern w:val="1"/>
          <w:sz w:val="24"/>
          <w:szCs w:val="24"/>
          <w:lang w:eastAsia="hi-IN" w:bidi="hi-IN"/>
        </w:rPr>
      </w:pPr>
      <w:r w:rsidRPr="00431111">
        <w:rPr>
          <w:rFonts w:ascii="Times New Roman" w:eastAsia="SimSun" w:hAnsi="Times New Roman"/>
          <w:i/>
          <w:kern w:val="1"/>
          <w:sz w:val="24"/>
          <w:szCs w:val="24"/>
          <w:lang w:eastAsia="hi-IN" w:bidi="hi-IN"/>
        </w:rPr>
        <w:t>Cahiers des Amériques latines</w:t>
      </w:r>
      <w:r>
        <w:rPr>
          <w:rFonts w:ascii="Times New Roman" w:eastAsia="SimSun" w:hAnsi="Times New Roman"/>
          <w:kern w:val="1"/>
          <w:sz w:val="24"/>
          <w:szCs w:val="24"/>
          <w:lang w:eastAsia="hi-IN" w:bidi="hi-IN"/>
        </w:rPr>
        <w:t>,</w:t>
      </w:r>
      <w:r w:rsidRPr="00BA32AE">
        <w:rPr>
          <w:rFonts w:ascii="Times New Roman" w:eastAsia="SimSun" w:hAnsi="Times New Roman"/>
          <w:kern w:val="1"/>
          <w:sz w:val="24"/>
          <w:szCs w:val="24"/>
          <w:lang w:eastAsia="hi-IN" w:bidi="hi-IN"/>
        </w:rPr>
        <w:t xml:space="preserve"> 82</w:t>
      </w:r>
      <w:r>
        <w:rPr>
          <w:rFonts w:ascii="Times New Roman" w:eastAsia="SimSun" w:hAnsi="Times New Roman"/>
          <w:kern w:val="1"/>
          <w:sz w:val="24"/>
          <w:szCs w:val="24"/>
          <w:lang w:eastAsia="hi-IN" w:bidi="hi-IN"/>
        </w:rPr>
        <w:t xml:space="preserve"> (2), </w:t>
      </w:r>
      <w:r w:rsidRPr="00BA32AE">
        <w:rPr>
          <w:rFonts w:ascii="Times New Roman" w:eastAsia="SimSun" w:hAnsi="Times New Roman"/>
          <w:kern w:val="1"/>
          <w:sz w:val="24"/>
          <w:szCs w:val="24"/>
          <w:lang w:eastAsia="hi-IN" w:bidi="hi-IN"/>
        </w:rPr>
        <w:t>113-128</w:t>
      </w:r>
      <w:r>
        <w:rPr>
          <w:rFonts w:ascii="Times New Roman" w:eastAsia="SimSun" w:hAnsi="Times New Roman"/>
          <w:kern w:val="1"/>
          <w:sz w:val="24"/>
          <w:szCs w:val="24"/>
          <w:lang w:eastAsia="hi-IN" w:bidi="hi-IN"/>
        </w:rPr>
        <w:t xml:space="preserve">. </w:t>
      </w:r>
    </w:p>
    <w:p w:rsidR="0090719B" w:rsidRPr="00875D67" w:rsidRDefault="0090719B" w:rsidP="00431111">
      <w:pPr>
        <w:pStyle w:val="Paragraphedeliste"/>
        <w:spacing w:after="0" w:line="240" w:lineRule="auto"/>
        <w:ind w:left="644"/>
        <w:rPr>
          <w:rFonts w:ascii="Times New Roman" w:eastAsia="SimSun" w:hAnsi="Times New Roman"/>
          <w:kern w:val="1"/>
          <w:sz w:val="24"/>
          <w:szCs w:val="24"/>
          <w:lang w:val="en-US" w:eastAsia="hi-IN" w:bidi="hi-IN"/>
        </w:rPr>
      </w:pPr>
      <w:r w:rsidRPr="00431111">
        <w:rPr>
          <w:rFonts w:ascii="Times New Roman" w:eastAsia="SimSun" w:hAnsi="Times New Roman"/>
          <w:kern w:val="1"/>
          <w:sz w:val="24"/>
          <w:szCs w:val="24"/>
          <w:lang w:eastAsia="hi-IN" w:bidi="hi-IN"/>
        </w:rPr>
        <w:t xml:space="preserve">Bellamy, R. (2000). </w:t>
      </w:r>
      <w:r w:rsidRPr="00875D67">
        <w:rPr>
          <w:rFonts w:ascii="Times New Roman" w:eastAsia="SimSun" w:hAnsi="Times New Roman"/>
          <w:i/>
          <w:iCs/>
          <w:kern w:val="1"/>
          <w:sz w:val="24"/>
          <w:szCs w:val="24"/>
          <w:lang w:val="en-US" w:eastAsia="hi-IN" w:bidi="hi-IN"/>
        </w:rPr>
        <w:t>RethinkingLiberalism</w:t>
      </w:r>
      <w:r w:rsidRPr="00875D67">
        <w:rPr>
          <w:rFonts w:ascii="Times New Roman" w:eastAsia="SimSun" w:hAnsi="Times New Roman"/>
          <w:kern w:val="1"/>
          <w:sz w:val="24"/>
          <w:szCs w:val="24"/>
          <w:lang w:val="en-US" w:eastAsia="hi-IN" w:bidi="hi-IN"/>
        </w:rPr>
        <w:t xml:space="preserve">. London: Pinter. </w:t>
      </w:r>
    </w:p>
    <w:p w:rsidR="0090719B" w:rsidRDefault="0090719B" w:rsidP="00431111">
      <w:pPr>
        <w:pStyle w:val="Paragraphedeliste"/>
        <w:widowControl w:val="0"/>
        <w:spacing w:after="0" w:line="240" w:lineRule="auto"/>
        <w:ind w:left="644"/>
        <w:rPr>
          <w:rFonts w:ascii="Times New Roman" w:eastAsia="SimSun" w:hAnsi="Times New Roman"/>
          <w:kern w:val="1"/>
          <w:sz w:val="24"/>
          <w:szCs w:val="24"/>
          <w:lang w:val="en-CA" w:eastAsia="hi-IN" w:bidi="hi-IN"/>
        </w:rPr>
      </w:pPr>
      <w:r>
        <w:rPr>
          <w:rFonts w:ascii="Times New Roman" w:eastAsia="SimSun" w:hAnsi="Times New Roman"/>
          <w:kern w:val="1"/>
          <w:sz w:val="24"/>
          <w:szCs w:val="24"/>
          <w:lang w:val="en-CA" w:eastAsia="hi-IN" w:bidi="hi-IN"/>
        </w:rPr>
        <w:t>Behrend, J</w:t>
      </w:r>
      <w:r w:rsidRPr="00012BA3">
        <w:rPr>
          <w:rFonts w:ascii="Times New Roman" w:eastAsia="SimSun" w:hAnsi="Times New Roman"/>
          <w:kern w:val="1"/>
          <w:sz w:val="24"/>
          <w:szCs w:val="24"/>
          <w:lang w:val="en-CA" w:eastAsia="hi-IN" w:bidi="hi-IN"/>
        </w:rPr>
        <w:t xml:space="preserve">. </w:t>
      </w:r>
      <w:r>
        <w:rPr>
          <w:rFonts w:ascii="Times New Roman" w:eastAsia="SimSun" w:hAnsi="Times New Roman"/>
          <w:kern w:val="1"/>
          <w:sz w:val="24"/>
          <w:szCs w:val="24"/>
          <w:lang w:val="en-CA" w:eastAsia="hi-IN" w:bidi="hi-IN"/>
        </w:rPr>
        <w:t>(</w:t>
      </w:r>
      <w:r w:rsidRPr="00012BA3">
        <w:rPr>
          <w:rFonts w:ascii="Times New Roman" w:eastAsia="SimSun" w:hAnsi="Times New Roman"/>
          <w:kern w:val="1"/>
          <w:sz w:val="24"/>
          <w:szCs w:val="24"/>
          <w:lang w:val="en-CA" w:eastAsia="hi-IN" w:bidi="hi-IN"/>
        </w:rPr>
        <w:t>2011</w:t>
      </w:r>
      <w:r>
        <w:rPr>
          <w:rFonts w:ascii="Times New Roman" w:eastAsia="SimSun" w:hAnsi="Times New Roman"/>
          <w:kern w:val="1"/>
          <w:sz w:val="24"/>
          <w:szCs w:val="24"/>
          <w:lang w:val="en-CA" w:eastAsia="hi-IN" w:bidi="hi-IN"/>
        </w:rPr>
        <w:t>)</w:t>
      </w:r>
      <w:r w:rsidRPr="00012BA3">
        <w:rPr>
          <w:rFonts w:ascii="Times New Roman" w:eastAsia="SimSun" w:hAnsi="Times New Roman"/>
          <w:kern w:val="1"/>
          <w:sz w:val="24"/>
          <w:szCs w:val="24"/>
          <w:lang w:val="en-CA" w:eastAsia="hi-IN" w:bidi="hi-IN"/>
        </w:rPr>
        <w:t>.“The Unevenness of Democracy at the Subnational Level: Provincial Closed Games in Argentina”</w:t>
      </w:r>
      <w:r>
        <w:rPr>
          <w:rFonts w:ascii="Times New Roman" w:eastAsia="SimSun" w:hAnsi="Times New Roman"/>
          <w:kern w:val="1"/>
          <w:sz w:val="24"/>
          <w:szCs w:val="24"/>
          <w:lang w:val="en-CA" w:eastAsia="hi-IN" w:bidi="hi-IN"/>
        </w:rPr>
        <w:t>,</w:t>
      </w:r>
      <w:r w:rsidRPr="00012BA3">
        <w:rPr>
          <w:rFonts w:ascii="Times New Roman" w:eastAsia="SimSun" w:hAnsi="Times New Roman"/>
          <w:i/>
          <w:kern w:val="1"/>
          <w:sz w:val="24"/>
          <w:szCs w:val="24"/>
          <w:lang w:val="en-CA" w:eastAsia="hi-IN" w:bidi="hi-IN"/>
        </w:rPr>
        <w:t>Latin American Research Review</w:t>
      </w:r>
      <w:r>
        <w:rPr>
          <w:rFonts w:ascii="Times New Roman" w:eastAsia="SimSun" w:hAnsi="Times New Roman"/>
          <w:kern w:val="1"/>
          <w:sz w:val="24"/>
          <w:szCs w:val="24"/>
          <w:lang w:val="en-CA" w:eastAsia="hi-IN" w:bidi="hi-IN"/>
        </w:rPr>
        <w:t xml:space="preserve"> 46 (1),</w:t>
      </w:r>
      <w:r w:rsidRPr="00012BA3">
        <w:rPr>
          <w:rFonts w:ascii="Times New Roman" w:eastAsia="SimSun" w:hAnsi="Times New Roman"/>
          <w:kern w:val="1"/>
          <w:sz w:val="24"/>
          <w:szCs w:val="24"/>
          <w:lang w:val="en-CA" w:eastAsia="hi-IN" w:bidi="hi-IN"/>
        </w:rPr>
        <w:t xml:space="preserve"> 150-176. </w:t>
      </w:r>
    </w:p>
    <w:p w:rsidR="0090719B" w:rsidRPr="006C2873" w:rsidRDefault="0090719B" w:rsidP="006C2873">
      <w:pPr>
        <w:pStyle w:val="Paragraphedeliste"/>
        <w:widowControl w:val="0"/>
        <w:spacing w:after="0" w:line="240" w:lineRule="auto"/>
        <w:ind w:left="644"/>
        <w:rPr>
          <w:rFonts w:ascii="Times New Roman" w:eastAsia="SimSun" w:hAnsi="Times New Roman"/>
          <w:kern w:val="1"/>
          <w:sz w:val="24"/>
          <w:szCs w:val="24"/>
          <w:lang w:val="en-CA" w:eastAsia="hi-IN" w:bidi="hi-IN"/>
        </w:rPr>
      </w:pPr>
      <w:r w:rsidRPr="006C2873">
        <w:rPr>
          <w:rFonts w:ascii="Times New Roman" w:eastAsia="SimSun" w:hAnsi="Times New Roman"/>
          <w:kern w:val="1"/>
          <w:sz w:val="24"/>
          <w:szCs w:val="24"/>
          <w:lang w:val="en-CA" w:eastAsia="hi-IN" w:bidi="hi-IN"/>
        </w:rPr>
        <w:t xml:space="preserve">Broad, R y Cavanagh, J. (2015). </w:t>
      </w:r>
      <w:r>
        <w:rPr>
          <w:rFonts w:ascii="Times New Roman" w:eastAsia="SimSun" w:hAnsi="Times New Roman"/>
          <w:kern w:val="1"/>
          <w:sz w:val="24"/>
          <w:szCs w:val="24"/>
          <w:lang w:val="en-CA" w:eastAsia="hi-IN" w:bidi="hi-IN"/>
        </w:rPr>
        <w:t>“</w:t>
      </w:r>
      <w:r w:rsidRPr="006C2873">
        <w:rPr>
          <w:rFonts w:ascii="Times New Roman" w:hAnsi="Times New Roman"/>
          <w:color w:val="343434"/>
          <w:sz w:val="24"/>
          <w:szCs w:val="24"/>
          <w:shd w:val="clear" w:color="auto" w:fill="FFFFFF"/>
          <w:lang w:val="en-CA"/>
        </w:rPr>
        <w:t>Poorer Countries and the Env</w:t>
      </w:r>
      <w:r>
        <w:rPr>
          <w:rFonts w:ascii="Times New Roman" w:hAnsi="Times New Roman"/>
          <w:color w:val="343434"/>
          <w:sz w:val="24"/>
          <w:szCs w:val="24"/>
          <w:shd w:val="clear" w:color="auto" w:fill="FFFFFF"/>
          <w:lang w:val="en-CA"/>
        </w:rPr>
        <w:t xml:space="preserve">ironment: Friends or Foes?”, </w:t>
      </w:r>
      <w:r w:rsidRPr="006C2873">
        <w:rPr>
          <w:rStyle w:val="Accentuation"/>
          <w:rFonts w:ascii="Times New Roman" w:hAnsi="Times New Roman"/>
          <w:color w:val="343434"/>
          <w:sz w:val="24"/>
          <w:szCs w:val="24"/>
          <w:shd w:val="clear" w:color="auto" w:fill="FFFFFF"/>
          <w:lang w:val="en-CA"/>
        </w:rPr>
        <w:t>World Development</w:t>
      </w:r>
      <w:r>
        <w:rPr>
          <w:rFonts w:ascii="Times New Roman" w:hAnsi="Times New Roman"/>
          <w:color w:val="343434"/>
          <w:sz w:val="24"/>
          <w:szCs w:val="24"/>
          <w:shd w:val="clear" w:color="auto" w:fill="FFFFFF"/>
          <w:lang w:val="en-CA"/>
        </w:rPr>
        <w:t>, 72, 419-431.</w:t>
      </w:r>
    </w:p>
    <w:p w:rsidR="0090719B" w:rsidRPr="00012BA3" w:rsidRDefault="0090719B" w:rsidP="00431111">
      <w:pPr>
        <w:pStyle w:val="Paragraphedeliste"/>
        <w:spacing w:after="0" w:line="240" w:lineRule="auto"/>
        <w:ind w:left="644"/>
        <w:rPr>
          <w:rFonts w:ascii="Times New Roman" w:eastAsia="SimSun" w:hAnsi="Times New Roman"/>
          <w:color w:val="000000"/>
          <w:kern w:val="1"/>
          <w:sz w:val="24"/>
          <w:szCs w:val="24"/>
          <w:lang w:val="en-CA" w:eastAsia="hi-IN" w:bidi="hi-IN"/>
        </w:rPr>
      </w:pPr>
      <w:r>
        <w:rPr>
          <w:rFonts w:ascii="Times New Roman" w:eastAsia="SimSun" w:hAnsi="Times New Roman"/>
          <w:color w:val="000000"/>
          <w:kern w:val="1"/>
          <w:sz w:val="24"/>
          <w:szCs w:val="24"/>
          <w:lang w:val="en-CA" w:eastAsia="hi-IN" w:bidi="hi-IN"/>
        </w:rPr>
        <w:t>Cornelius, W.</w:t>
      </w:r>
      <w:r w:rsidRPr="00012BA3">
        <w:rPr>
          <w:rFonts w:ascii="Times New Roman" w:eastAsia="SimSun" w:hAnsi="Times New Roman"/>
          <w:color w:val="000000"/>
          <w:kern w:val="1"/>
          <w:sz w:val="24"/>
          <w:szCs w:val="24"/>
          <w:lang w:val="en-CA" w:eastAsia="hi-IN" w:bidi="hi-IN"/>
        </w:rPr>
        <w:t xml:space="preserve">, </w:t>
      </w:r>
      <w:r>
        <w:rPr>
          <w:rFonts w:ascii="Times New Roman" w:eastAsia="SimSun" w:hAnsi="Times New Roman"/>
          <w:color w:val="000000"/>
          <w:kern w:val="1"/>
          <w:sz w:val="24"/>
          <w:szCs w:val="24"/>
          <w:lang w:val="en-CA" w:eastAsia="hi-IN" w:bidi="hi-IN"/>
        </w:rPr>
        <w:t>(E</w:t>
      </w:r>
      <w:r w:rsidRPr="00012BA3">
        <w:rPr>
          <w:rFonts w:ascii="Times New Roman" w:eastAsia="SimSun" w:hAnsi="Times New Roman"/>
          <w:color w:val="000000"/>
          <w:kern w:val="1"/>
          <w:sz w:val="24"/>
          <w:szCs w:val="24"/>
          <w:lang w:val="en-CA" w:eastAsia="hi-IN" w:bidi="hi-IN"/>
        </w:rPr>
        <w:t>d</w:t>
      </w:r>
      <w:r>
        <w:rPr>
          <w:rFonts w:ascii="Times New Roman" w:eastAsia="SimSun" w:hAnsi="Times New Roman"/>
          <w:color w:val="000000"/>
          <w:kern w:val="1"/>
          <w:sz w:val="24"/>
          <w:szCs w:val="24"/>
          <w:lang w:val="en-CA" w:eastAsia="hi-IN" w:bidi="hi-IN"/>
        </w:rPr>
        <w:t>.)</w:t>
      </w:r>
      <w:r w:rsidRPr="00012BA3">
        <w:rPr>
          <w:rFonts w:ascii="Times New Roman" w:eastAsia="SimSun" w:hAnsi="Times New Roman"/>
          <w:color w:val="000000"/>
          <w:kern w:val="1"/>
          <w:sz w:val="24"/>
          <w:szCs w:val="24"/>
          <w:lang w:val="en-CA" w:eastAsia="hi-IN" w:bidi="hi-IN"/>
        </w:rPr>
        <w:t>.</w:t>
      </w:r>
      <w:r>
        <w:rPr>
          <w:rFonts w:ascii="Times New Roman" w:eastAsia="SimSun" w:hAnsi="Times New Roman"/>
          <w:color w:val="000000"/>
          <w:kern w:val="1"/>
          <w:sz w:val="24"/>
          <w:szCs w:val="24"/>
          <w:lang w:val="en-CA" w:eastAsia="hi-IN" w:bidi="hi-IN"/>
        </w:rPr>
        <w:t xml:space="preserve"> (</w:t>
      </w:r>
      <w:r w:rsidRPr="00012BA3">
        <w:rPr>
          <w:rFonts w:ascii="Times New Roman" w:eastAsia="SimSun" w:hAnsi="Times New Roman"/>
          <w:color w:val="000000"/>
          <w:kern w:val="1"/>
          <w:sz w:val="24"/>
          <w:szCs w:val="24"/>
          <w:lang w:val="en-CA" w:eastAsia="hi-IN" w:bidi="hi-IN"/>
        </w:rPr>
        <w:t>1999</w:t>
      </w:r>
      <w:r>
        <w:rPr>
          <w:rFonts w:ascii="Times New Roman" w:eastAsia="SimSun" w:hAnsi="Times New Roman"/>
          <w:color w:val="000000"/>
          <w:kern w:val="1"/>
          <w:sz w:val="24"/>
          <w:szCs w:val="24"/>
          <w:lang w:val="en-CA" w:eastAsia="hi-IN" w:bidi="hi-IN"/>
        </w:rPr>
        <w:t>)</w:t>
      </w:r>
      <w:r w:rsidRPr="00012BA3">
        <w:rPr>
          <w:rFonts w:ascii="Times New Roman" w:eastAsia="SimSun" w:hAnsi="Times New Roman"/>
          <w:color w:val="000000"/>
          <w:kern w:val="1"/>
          <w:sz w:val="24"/>
          <w:szCs w:val="24"/>
          <w:lang w:val="en-CA" w:eastAsia="hi-IN" w:bidi="hi-IN"/>
        </w:rPr>
        <w:t>. “</w:t>
      </w:r>
      <w:r w:rsidRPr="00012BA3">
        <w:rPr>
          <w:rFonts w:ascii="Times New Roman" w:eastAsia="SimSun" w:hAnsi="Times New Roman"/>
          <w:i/>
          <w:color w:val="000000"/>
          <w:kern w:val="1"/>
          <w:sz w:val="24"/>
          <w:szCs w:val="24"/>
          <w:lang w:val="en-CA" w:eastAsia="hi-IN" w:bidi="hi-IN"/>
        </w:rPr>
        <w:t>Subnational Politics and Democratization in Mexico</w:t>
      </w:r>
      <w:r w:rsidRPr="00012BA3">
        <w:rPr>
          <w:rFonts w:ascii="Times New Roman" w:eastAsia="SimSun" w:hAnsi="Times New Roman"/>
          <w:color w:val="000000"/>
          <w:kern w:val="1"/>
          <w:sz w:val="24"/>
          <w:szCs w:val="24"/>
          <w:lang w:val="en-CA" w:eastAsia="hi-IN" w:bidi="hi-IN"/>
        </w:rPr>
        <w:t>”,LaJolla: Center for U.S– MexicanStudies.</w:t>
      </w:r>
    </w:p>
    <w:p w:rsidR="0090719B" w:rsidRDefault="0090719B" w:rsidP="00431111">
      <w:pPr>
        <w:pStyle w:val="Paragraphedeliste"/>
        <w:spacing w:after="0" w:line="240" w:lineRule="auto"/>
        <w:ind w:left="644"/>
        <w:rPr>
          <w:rFonts w:ascii="Times New Roman" w:eastAsia="SimSun" w:hAnsi="Times New Roman"/>
          <w:color w:val="000000"/>
          <w:kern w:val="1"/>
          <w:sz w:val="24"/>
          <w:szCs w:val="24"/>
          <w:lang w:val="en-CA" w:eastAsia="hi-IN" w:bidi="hi-IN"/>
        </w:rPr>
      </w:pPr>
      <w:r>
        <w:rPr>
          <w:rFonts w:ascii="Times New Roman" w:eastAsia="SimSun" w:hAnsi="Times New Roman"/>
          <w:color w:val="000000"/>
          <w:kern w:val="1"/>
          <w:sz w:val="24"/>
          <w:szCs w:val="24"/>
          <w:lang w:val="en-CA" w:eastAsia="hi-IN" w:bidi="hi-IN"/>
        </w:rPr>
        <w:t>Dahl, R. (1971)</w:t>
      </w:r>
      <w:r w:rsidRPr="00012BA3">
        <w:rPr>
          <w:rFonts w:ascii="Times New Roman" w:eastAsia="SimSun" w:hAnsi="Times New Roman"/>
          <w:color w:val="000000"/>
          <w:kern w:val="1"/>
          <w:sz w:val="24"/>
          <w:szCs w:val="24"/>
          <w:lang w:val="en-CA" w:eastAsia="hi-IN" w:bidi="hi-IN"/>
        </w:rPr>
        <w:t xml:space="preserve">. </w:t>
      </w:r>
      <w:r w:rsidRPr="00012BA3">
        <w:rPr>
          <w:rFonts w:ascii="Times New Roman" w:eastAsia="SimSun" w:hAnsi="Times New Roman"/>
          <w:i/>
          <w:color w:val="000000"/>
          <w:kern w:val="1"/>
          <w:sz w:val="24"/>
          <w:szCs w:val="24"/>
          <w:lang w:val="en-CA" w:eastAsia="hi-IN" w:bidi="hi-IN"/>
        </w:rPr>
        <w:t>Polyarchy: Participation and Opposition</w:t>
      </w:r>
      <w:r w:rsidRPr="00012BA3">
        <w:rPr>
          <w:rFonts w:ascii="Times New Roman" w:eastAsia="SimSun" w:hAnsi="Times New Roman"/>
          <w:color w:val="000000"/>
          <w:kern w:val="1"/>
          <w:sz w:val="24"/>
          <w:szCs w:val="24"/>
          <w:lang w:val="en-CA" w:eastAsia="hi-IN" w:bidi="hi-IN"/>
        </w:rPr>
        <w:t>. New Haven: Yale University Press.</w:t>
      </w:r>
    </w:p>
    <w:p w:rsidR="0090719B" w:rsidRPr="00312CFE" w:rsidRDefault="0090719B" w:rsidP="00431111">
      <w:pPr>
        <w:pStyle w:val="Paragraphedeliste"/>
        <w:spacing w:after="0" w:line="240" w:lineRule="auto"/>
        <w:ind w:left="644"/>
        <w:rPr>
          <w:rFonts w:ascii="Times New Roman" w:eastAsia="SimSun" w:hAnsi="Times New Roman"/>
          <w:color w:val="000000"/>
          <w:kern w:val="1"/>
          <w:sz w:val="24"/>
          <w:szCs w:val="24"/>
          <w:lang w:val="en-CA" w:eastAsia="hi-IN" w:bidi="hi-IN"/>
        </w:rPr>
      </w:pPr>
      <w:r>
        <w:rPr>
          <w:rFonts w:ascii="Times New Roman" w:hAnsi="Times New Roman"/>
          <w:color w:val="000000"/>
          <w:sz w:val="24"/>
          <w:szCs w:val="24"/>
          <w:shd w:val="clear" w:color="auto" w:fill="FFFFFF"/>
          <w:lang w:val="es-ES"/>
        </w:rPr>
        <w:t>Di Paola, M., Pedace, R., Vilallonga, J. (</w:t>
      </w:r>
      <w:r w:rsidRPr="00312CFE">
        <w:rPr>
          <w:rFonts w:ascii="Times New Roman" w:hAnsi="Times New Roman"/>
          <w:color w:val="000000"/>
          <w:sz w:val="24"/>
          <w:szCs w:val="24"/>
          <w:shd w:val="clear" w:color="auto" w:fill="FFFFFF"/>
          <w:lang w:val="es-ES"/>
        </w:rPr>
        <w:t>2011</w:t>
      </w:r>
      <w:r>
        <w:rPr>
          <w:rFonts w:ascii="Times New Roman" w:hAnsi="Times New Roman"/>
          <w:color w:val="000000"/>
          <w:sz w:val="24"/>
          <w:szCs w:val="24"/>
          <w:shd w:val="clear" w:color="auto" w:fill="FFFFFF"/>
          <w:lang w:val="es-ES"/>
        </w:rPr>
        <w:t>)</w:t>
      </w:r>
      <w:r w:rsidRPr="00312CFE">
        <w:rPr>
          <w:rFonts w:ascii="Times New Roman" w:hAnsi="Times New Roman"/>
          <w:color w:val="000000"/>
          <w:sz w:val="24"/>
          <w:szCs w:val="24"/>
          <w:shd w:val="clear" w:color="auto" w:fill="FFFFFF"/>
          <w:lang w:val="es-ES"/>
        </w:rPr>
        <w:t xml:space="preserve">. </w:t>
      </w:r>
      <w:r w:rsidRPr="00312CFE">
        <w:rPr>
          <w:rFonts w:ascii="Times New Roman" w:hAnsi="Times New Roman"/>
          <w:i/>
          <w:color w:val="000000"/>
          <w:sz w:val="24"/>
          <w:szCs w:val="24"/>
          <w:shd w:val="clear" w:color="auto" w:fill="FFFFFF"/>
          <w:lang w:val="es-ES"/>
        </w:rPr>
        <w:t>La nueva ley de protección de glaciares y el ambiente periglaciar. Analisis de su elaboracion y desafios actuales.</w:t>
      </w:r>
      <w:r w:rsidRPr="00312CFE">
        <w:rPr>
          <w:rFonts w:ascii="Times New Roman" w:hAnsi="Times New Roman"/>
          <w:color w:val="000000"/>
          <w:sz w:val="24"/>
          <w:szCs w:val="24"/>
          <w:shd w:val="clear" w:color="auto" w:fill="FFFFFF"/>
          <w:lang w:val="es-ES"/>
        </w:rPr>
        <w:t xml:space="preserve"> Informe Ambiental Anual 2011. </w:t>
      </w:r>
      <w:r w:rsidRPr="00431111">
        <w:rPr>
          <w:rFonts w:ascii="Times New Roman" w:hAnsi="Times New Roman"/>
          <w:color w:val="000000"/>
          <w:sz w:val="24"/>
          <w:szCs w:val="24"/>
          <w:shd w:val="clear" w:color="auto" w:fill="FFFFFF"/>
          <w:lang w:val="en-CA"/>
        </w:rPr>
        <w:t>FARN: Buenos Aires.</w:t>
      </w:r>
    </w:p>
    <w:p w:rsidR="0090719B" w:rsidRPr="00012BA3" w:rsidRDefault="0090719B" w:rsidP="00431111">
      <w:pPr>
        <w:pStyle w:val="Paragraphedeliste"/>
        <w:spacing w:after="0" w:line="240" w:lineRule="auto"/>
        <w:ind w:left="644"/>
        <w:rPr>
          <w:rFonts w:ascii="Times New Roman" w:eastAsia="SimSun" w:hAnsi="Times New Roman"/>
          <w:color w:val="000000"/>
          <w:kern w:val="1"/>
          <w:sz w:val="24"/>
          <w:szCs w:val="24"/>
          <w:lang w:val="en-CA" w:eastAsia="hi-IN" w:bidi="hi-IN"/>
        </w:rPr>
      </w:pPr>
      <w:r>
        <w:rPr>
          <w:rFonts w:ascii="Times New Roman" w:eastAsia="SimSun" w:hAnsi="Times New Roman"/>
          <w:color w:val="000000"/>
          <w:kern w:val="1"/>
          <w:sz w:val="24"/>
          <w:szCs w:val="24"/>
          <w:lang w:val="en-CA" w:eastAsia="hi-IN" w:bidi="hi-IN"/>
        </w:rPr>
        <w:t>Diamond, L. (</w:t>
      </w:r>
      <w:r w:rsidRPr="00012BA3">
        <w:rPr>
          <w:rFonts w:ascii="Times New Roman" w:eastAsia="SimSun" w:hAnsi="Times New Roman"/>
          <w:color w:val="000000"/>
          <w:kern w:val="1"/>
          <w:sz w:val="24"/>
          <w:szCs w:val="24"/>
          <w:lang w:val="en-CA" w:eastAsia="hi-IN" w:bidi="hi-IN"/>
        </w:rPr>
        <w:t>2002</w:t>
      </w:r>
      <w:r>
        <w:rPr>
          <w:rFonts w:ascii="Times New Roman" w:eastAsia="SimSun" w:hAnsi="Times New Roman"/>
          <w:color w:val="000000"/>
          <w:kern w:val="1"/>
          <w:sz w:val="24"/>
          <w:szCs w:val="24"/>
          <w:lang w:val="en-CA" w:eastAsia="hi-IN" w:bidi="hi-IN"/>
        </w:rPr>
        <w:t>)</w:t>
      </w:r>
      <w:r w:rsidRPr="00012BA3">
        <w:rPr>
          <w:rFonts w:ascii="Times New Roman" w:eastAsia="SimSun" w:hAnsi="Times New Roman"/>
          <w:color w:val="000000"/>
          <w:kern w:val="1"/>
          <w:sz w:val="24"/>
          <w:szCs w:val="24"/>
          <w:lang w:val="en-CA" w:eastAsia="hi-IN" w:bidi="hi-IN"/>
        </w:rPr>
        <w:t xml:space="preserve"> “Thinking about Hybrid Regimes”. </w:t>
      </w:r>
      <w:r w:rsidRPr="00431111">
        <w:rPr>
          <w:rFonts w:ascii="Times New Roman" w:eastAsia="SimSun" w:hAnsi="Times New Roman"/>
          <w:i/>
          <w:color w:val="000000"/>
          <w:kern w:val="1"/>
          <w:sz w:val="24"/>
          <w:szCs w:val="24"/>
          <w:lang w:val="en-CA" w:eastAsia="hi-IN" w:bidi="hi-IN"/>
        </w:rPr>
        <w:t>Journal of Democracy</w:t>
      </w:r>
      <w:r>
        <w:rPr>
          <w:rFonts w:ascii="Times New Roman" w:eastAsia="SimSun" w:hAnsi="Times New Roman"/>
          <w:color w:val="000000"/>
          <w:kern w:val="1"/>
          <w:sz w:val="24"/>
          <w:szCs w:val="24"/>
          <w:lang w:val="en-CA" w:eastAsia="hi-IN" w:bidi="hi-IN"/>
        </w:rPr>
        <w:t xml:space="preserve"> 13 (2),</w:t>
      </w:r>
      <w:r w:rsidRPr="00012BA3">
        <w:rPr>
          <w:rFonts w:ascii="Times New Roman" w:eastAsia="SimSun" w:hAnsi="Times New Roman"/>
          <w:color w:val="000000"/>
          <w:kern w:val="1"/>
          <w:sz w:val="24"/>
          <w:szCs w:val="24"/>
          <w:lang w:val="en-CA" w:eastAsia="hi-IN" w:bidi="hi-IN"/>
        </w:rPr>
        <w:t xml:space="preserve"> 21-35.</w:t>
      </w:r>
    </w:p>
    <w:p w:rsidR="0090719B" w:rsidRDefault="0090719B" w:rsidP="00431111">
      <w:pPr>
        <w:pStyle w:val="Paragraphedeliste"/>
        <w:widowControl w:val="0"/>
        <w:suppressLineNumbers/>
        <w:spacing w:after="0" w:line="240" w:lineRule="auto"/>
        <w:ind w:left="644"/>
        <w:rPr>
          <w:rFonts w:ascii="Times New Roman" w:eastAsia="SimSun" w:hAnsi="Times New Roman"/>
          <w:kern w:val="1"/>
          <w:sz w:val="24"/>
          <w:szCs w:val="24"/>
          <w:lang w:val="en-CA" w:eastAsia="hi-IN" w:bidi="hi-IN"/>
        </w:rPr>
      </w:pPr>
      <w:r>
        <w:rPr>
          <w:rFonts w:ascii="Times New Roman" w:eastAsia="SimSun" w:hAnsi="Times New Roman"/>
          <w:kern w:val="1"/>
          <w:sz w:val="24"/>
          <w:szCs w:val="24"/>
          <w:lang w:val="en-CA" w:eastAsia="hi-IN" w:bidi="hi-IN"/>
        </w:rPr>
        <w:t>Durazo-Herrmann, J. (</w:t>
      </w:r>
      <w:r w:rsidRPr="00012BA3">
        <w:rPr>
          <w:rFonts w:ascii="Times New Roman" w:eastAsia="SimSun" w:hAnsi="Times New Roman"/>
          <w:kern w:val="1"/>
          <w:sz w:val="24"/>
          <w:szCs w:val="24"/>
          <w:lang w:val="en-CA" w:eastAsia="hi-IN" w:bidi="hi-IN"/>
        </w:rPr>
        <w:t>2010</w:t>
      </w:r>
      <w:r>
        <w:rPr>
          <w:rFonts w:ascii="Times New Roman" w:eastAsia="SimSun" w:hAnsi="Times New Roman"/>
          <w:kern w:val="1"/>
          <w:sz w:val="24"/>
          <w:szCs w:val="24"/>
          <w:lang w:val="en-CA" w:eastAsia="hi-IN" w:bidi="hi-IN"/>
        </w:rPr>
        <w:t xml:space="preserve">). </w:t>
      </w:r>
      <w:r w:rsidRPr="00012BA3">
        <w:rPr>
          <w:rFonts w:ascii="Times New Roman" w:eastAsia="SimSun" w:hAnsi="Times New Roman"/>
          <w:kern w:val="1"/>
          <w:sz w:val="24"/>
          <w:szCs w:val="24"/>
          <w:lang w:val="en-CA" w:eastAsia="hi-IN" w:bidi="hi-IN"/>
        </w:rPr>
        <w:t>“Neo-Patrimonialism and Subnational</w:t>
      </w:r>
    </w:p>
    <w:p w:rsidR="0090719B" w:rsidRDefault="0090719B" w:rsidP="00431111">
      <w:pPr>
        <w:pStyle w:val="Paragraphedeliste"/>
        <w:widowControl w:val="0"/>
        <w:suppressLineNumbers/>
        <w:spacing w:after="0" w:line="240" w:lineRule="auto"/>
        <w:ind w:left="644"/>
        <w:rPr>
          <w:rFonts w:ascii="Times New Roman" w:eastAsia="SimSun" w:hAnsi="Times New Roman"/>
          <w:kern w:val="1"/>
          <w:sz w:val="24"/>
          <w:szCs w:val="24"/>
          <w:lang w:val="en-CA" w:eastAsia="hi-IN" w:bidi="hi-IN"/>
        </w:rPr>
      </w:pPr>
      <w:r w:rsidRPr="00012BA3">
        <w:rPr>
          <w:rFonts w:ascii="Times New Roman" w:eastAsia="SimSun" w:hAnsi="Times New Roman"/>
          <w:kern w:val="1"/>
          <w:sz w:val="24"/>
          <w:szCs w:val="24"/>
          <w:lang w:val="en-CA" w:eastAsia="hi-IN" w:bidi="hi-IN"/>
        </w:rPr>
        <w:t xml:space="preserve">AuthoritarianisiminMexico”. The case Oaxaca, </w:t>
      </w:r>
      <w:r w:rsidRPr="00012BA3">
        <w:rPr>
          <w:rFonts w:ascii="Times New Roman" w:eastAsia="SimSun" w:hAnsi="Times New Roman"/>
          <w:i/>
          <w:kern w:val="1"/>
          <w:sz w:val="24"/>
          <w:szCs w:val="24"/>
          <w:lang w:val="en-CA" w:eastAsia="hi-IN" w:bidi="hi-IN"/>
        </w:rPr>
        <w:t>Journal of Politics in Latin America</w:t>
      </w:r>
      <w:r>
        <w:rPr>
          <w:rFonts w:ascii="Times New Roman" w:eastAsia="SimSun" w:hAnsi="Times New Roman"/>
          <w:kern w:val="1"/>
          <w:sz w:val="24"/>
          <w:szCs w:val="24"/>
          <w:lang w:val="en-CA" w:eastAsia="hi-IN" w:bidi="hi-IN"/>
        </w:rPr>
        <w:t>, 2(2),</w:t>
      </w:r>
      <w:r w:rsidRPr="00012BA3">
        <w:rPr>
          <w:rFonts w:ascii="Times New Roman" w:eastAsia="SimSun" w:hAnsi="Times New Roman"/>
          <w:kern w:val="1"/>
          <w:sz w:val="24"/>
          <w:szCs w:val="24"/>
          <w:lang w:val="en-CA" w:eastAsia="hi-IN" w:bidi="hi-IN"/>
        </w:rPr>
        <w:t xml:space="preserve"> 85-112. </w:t>
      </w:r>
    </w:p>
    <w:p w:rsidR="0090719B" w:rsidRPr="00431111" w:rsidRDefault="0090719B" w:rsidP="00431111">
      <w:pPr>
        <w:spacing w:after="0" w:line="240" w:lineRule="auto"/>
        <w:ind w:left="709" w:hanging="142"/>
        <w:rPr>
          <w:rFonts w:ascii="Times New Roman" w:eastAsia="SimSun" w:hAnsi="Times New Roman"/>
          <w:kern w:val="1"/>
          <w:sz w:val="24"/>
          <w:szCs w:val="24"/>
          <w:lang w:val="en-CA" w:eastAsia="hi-IN" w:bidi="hi-IN"/>
        </w:rPr>
      </w:pPr>
      <w:r>
        <w:rPr>
          <w:rFonts w:ascii="Times New Roman" w:eastAsia="SimSun" w:hAnsi="Times New Roman" w:cs="Mangal"/>
          <w:kern w:val="1"/>
          <w:sz w:val="24"/>
          <w:szCs w:val="24"/>
          <w:lang w:val="en-CA" w:eastAsia="hi-IN" w:bidi="hi-IN"/>
        </w:rPr>
        <w:t>Gibson, E.</w:t>
      </w:r>
      <w:r w:rsidRPr="00431111">
        <w:rPr>
          <w:rFonts w:ascii="Times New Roman" w:eastAsia="SimSun" w:hAnsi="Times New Roman" w:cs="Mangal"/>
          <w:kern w:val="1"/>
          <w:sz w:val="24"/>
          <w:szCs w:val="24"/>
          <w:lang w:val="en-CA" w:eastAsia="hi-IN" w:bidi="hi-IN"/>
        </w:rPr>
        <w:t xml:space="preserve"> L. </w:t>
      </w:r>
      <w:r>
        <w:rPr>
          <w:rFonts w:ascii="Times New Roman" w:eastAsia="SimSun" w:hAnsi="Times New Roman" w:cs="Mangal"/>
          <w:kern w:val="1"/>
          <w:sz w:val="24"/>
          <w:szCs w:val="24"/>
          <w:lang w:val="en-CA" w:eastAsia="hi-IN" w:bidi="hi-IN"/>
        </w:rPr>
        <w:t>(</w:t>
      </w:r>
      <w:r w:rsidRPr="00431111">
        <w:rPr>
          <w:rFonts w:ascii="Times New Roman" w:eastAsia="SimSun" w:hAnsi="Times New Roman" w:cs="Mangal"/>
          <w:kern w:val="1"/>
          <w:sz w:val="24"/>
          <w:szCs w:val="24"/>
          <w:lang w:val="en-CA" w:eastAsia="hi-IN" w:bidi="hi-IN"/>
        </w:rPr>
        <w:t>2005</w:t>
      </w:r>
      <w:r>
        <w:rPr>
          <w:rFonts w:ascii="Times New Roman" w:eastAsia="SimSun" w:hAnsi="Times New Roman" w:cs="Mangal"/>
          <w:kern w:val="1"/>
          <w:sz w:val="24"/>
          <w:szCs w:val="24"/>
          <w:lang w:val="en-CA" w:eastAsia="hi-IN" w:bidi="hi-IN"/>
        </w:rPr>
        <w:t>)</w:t>
      </w:r>
      <w:r w:rsidRPr="00431111">
        <w:rPr>
          <w:rFonts w:ascii="Times New Roman" w:eastAsia="SimSun" w:hAnsi="Times New Roman" w:cs="Mangal"/>
          <w:kern w:val="1"/>
          <w:sz w:val="24"/>
          <w:szCs w:val="24"/>
          <w:lang w:val="en-CA" w:eastAsia="hi-IN" w:bidi="hi-IN"/>
        </w:rPr>
        <w:t xml:space="preserve">. “Boundary Control: Subnational Authoritarianism in Democratic Countries”, </w:t>
      </w:r>
      <w:r w:rsidRPr="00431111">
        <w:rPr>
          <w:rFonts w:ascii="Times New Roman" w:eastAsia="SimSun" w:hAnsi="Times New Roman" w:cs="Mangal"/>
          <w:i/>
          <w:kern w:val="1"/>
          <w:sz w:val="24"/>
          <w:szCs w:val="24"/>
          <w:lang w:val="en-CA" w:eastAsia="hi-IN" w:bidi="hi-IN"/>
        </w:rPr>
        <w:t>Word Politics</w:t>
      </w:r>
      <w:r w:rsidRPr="00431111">
        <w:rPr>
          <w:rFonts w:ascii="Times New Roman" w:eastAsia="SimSun" w:hAnsi="Times New Roman" w:cs="Mangal"/>
          <w:kern w:val="1"/>
          <w:sz w:val="24"/>
          <w:szCs w:val="24"/>
          <w:lang w:val="en-CA" w:eastAsia="hi-IN" w:bidi="hi-IN"/>
        </w:rPr>
        <w:t xml:space="preserve">, </w:t>
      </w:r>
      <w:r w:rsidRPr="00431111">
        <w:rPr>
          <w:rFonts w:ascii="Times New Roman" w:eastAsia="SimSun" w:hAnsi="Times New Roman" w:cs="Mangal"/>
          <w:i/>
          <w:kern w:val="1"/>
          <w:sz w:val="24"/>
          <w:szCs w:val="24"/>
          <w:lang w:val="en-CA" w:eastAsia="hi-IN" w:bidi="hi-IN"/>
        </w:rPr>
        <w:t>58</w:t>
      </w:r>
      <w:r w:rsidRPr="00431111">
        <w:rPr>
          <w:rFonts w:ascii="Times New Roman" w:eastAsia="SimSun" w:hAnsi="Times New Roman" w:cs="Mangal"/>
          <w:kern w:val="1"/>
          <w:sz w:val="24"/>
          <w:szCs w:val="24"/>
          <w:lang w:val="en-CA" w:eastAsia="hi-IN" w:bidi="hi-IN"/>
        </w:rPr>
        <w:t xml:space="preserve">, 101-132. </w:t>
      </w:r>
    </w:p>
    <w:p w:rsidR="0090719B" w:rsidRPr="00431111" w:rsidRDefault="0090719B" w:rsidP="00431111">
      <w:pPr>
        <w:spacing w:after="0" w:line="240" w:lineRule="auto"/>
        <w:ind w:left="709" w:hanging="142"/>
        <w:rPr>
          <w:rFonts w:ascii="Times New Roman" w:eastAsia="SimSun" w:hAnsi="Times New Roman"/>
          <w:kern w:val="1"/>
          <w:sz w:val="24"/>
          <w:szCs w:val="24"/>
          <w:lang w:val="en-CA" w:eastAsia="hi-IN" w:bidi="hi-IN"/>
        </w:rPr>
      </w:pPr>
      <w:r>
        <w:rPr>
          <w:rFonts w:ascii="Times New Roman" w:eastAsia="SimSun" w:hAnsi="Times New Roman"/>
          <w:kern w:val="1"/>
          <w:sz w:val="24"/>
          <w:szCs w:val="24"/>
          <w:lang w:val="en-CA" w:eastAsia="hi-IN" w:bidi="hi-IN"/>
        </w:rPr>
        <w:t>Gervasoni, C.</w:t>
      </w:r>
      <w:r w:rsidRPr="00431111">
        <w:rPr>
          <w:rFonts w:ascii="Times New Roman" w:eastAsia="SimSun" w:hAnsi="Times New Roman"/>
          <w:kern w:val="1"/>
          <w:sz w:val="24"/>
          <w:szCs w:val="24"/>
          <w:lang w:val="en-CA" w:eastAsia="hi-IN" w:bidi="hi-IN"/>
        </w:rPr>
        <w:t xml:space="preserve"> H. </w:t>
      </w:r>
      <w:r>
        <w:rPr>
          <w:rFonts w:ascii="Times New Roman" w:eastAsia="SimSun" w:hAnsi="Times New Roman"/>
          <w:kern w:val="1"/>
          <w:sz w:val="24"/>
          <w:szCs w:val="24"/>
          <w:lang w:val="en-CA" w:eastAsia="hi-IN" w:bidi="hi-IN"/>
        </w:rPr>
        <w:t>(</w:t>
      </w:r>
      <w:r w:rsidRPr="00431111">
        <w:rPr>
          <w:rFonts w:ascii="Times New Roman" w:eastAsia="SimSun" w:hAnsi="Times New Roman"/>
          <w:kern w:val="1"/>
          <w:sz w:val="24"/>
          <w:szCs w:val="24"/>
          <w:lang w:val="en-CA" w:eastAsia="hi-IN" w:bidi="hi-IN"/>
        </w:rPr>
        <w:t>2010</w:t>
      </w:r>
      <w:r>
        <w:rPr>
          <w:rFonts w:ascii="Times New Roman" w:eastAsia="SimSun" w:hAnsi="Times New Roman"/>
          <w:kern w:val="1"/>
          <w:sz w:val="24"/>
          <w:szCs w:val="24"/>
          <w:lang w:val="en-CA" w:eastAsia="hi-IN" w:bidi="hi-IN"/>
        </w:rPr>
        <w:t>)</w:t>
      </w:r>
      <w:r w:rsidRPr="00431111">
        <w:rPr>
          <w:rFonts w:ascii="Times New Roman" w:eastAsia="SimSun" w:hAnsi="Times New Roman"/>
          <w:kern w:val="1"/>
          <w:sz w:val="24"/>
          <w:szCs w:val="24"/>
          <w:lang w:val="en-CA" w:eastAsia="hi-IN" w:bidi="hi-IN"/>
        </w:rPr>
        <w:t xml:space="preserve">. “A Rentier Theory of Subnational Regimes: Fiscal Federalism, Democracy and Authoritarianism in the Argentine Provinces.” </w:t>
      </w:r>
      <w:r w:rsidRPr="00431111">
        <w:rPr>
          <w:rFonts w:ascii="Times New Roman" w:eastAsia="SimSun" w:hAnsi="Times New Roman"/>
          <w:i/>
          <w:kern w:val="1"/>
          <w:sz w:val="24"/>
          <w:szCs w:val="24"/>
          <w:lang w:val="en-CA" w:eastAsia="hi-IN" w:bidi="hi-IN"/>
        </w:rPr>
        <w:t>World Politics</w:t>
      </w:r>
      <w:r w:rsidRPr="00431111">
        <w:rPr>
          <w:rFonts w:ascii="Times New Roman" w:eastAsia="SimSun" w:hAnsi="Times New Roman"/>
          <w:kern w:val="1"/>
          <w:sz w:val="24"/>
          <w:szCs w:val="24"/>
          <w:lang w:val="en-CA" w:eastAsia="hi-IN" w:bidi="hi-IN"/>
        </w:rPr>
        <w:t>, 62, (2), 302-40.</w:t>
      </w:r>
    </w:p>
    <w:p w:rsidR="0090719B" w:rsidRPr="00431111" w:rsidRDefault="0090719B" w:rsidP="00431111">
      <w:pPr>
        <w:widowControl w:val="0"/>
        <w:suppressLineNumbers/>
        <w:spacing w:after="0" w:line="240" w:lineRule="auto"/>
        <w:ind w:left="709" w:hanging="142"/>
        <w:rPr>
          <w:rFonts w:ascii="Times New Roman" w:eastAsia="SimSun" w:hAnsi="Times New Roman"/>
          <w:kern w:val="1"/>
          <w:sz w:val="24"/>
          <w:szCs w:val="24"/>
          <w:lang w:val="en-CA" w:eastAsia="hi-IN" w:bidi="hi-IN"/>
        </w:rPr>
      </w:pPr>
      <w:r>
        <w:rPr>
          <w:rFonts w:ascii="Times New Roman" w:eastAsia="SimSun" w:hAnsi="Times New Roman"/>
          <w:kern w:val="1"/>
          <w:sz w:val="24"/>
          <w:szCs w:val="24"/>
          <w:lang w:val="en-CA" w:eastAsia="hi-IN" w:bidi="hi-IN"/>
        </w:rPr>
        <w:t>Gibson, E</w:t>
      </w:r>
      <w:r w:rsidRPr="00431111">
        <w:rPr>
          <w:rFonts w:ascii="Times New Roman" w:eastAsia="SimSun" w:hAnsi="Times New Roman"/>
          <w:kern w:val="1"/>
          <w:sz w:val="24"/>
          <w:szCs w:val="24"/>
          <w:lang w:val="en-CA" w:eastAsia="hi-IN" w:bidi="hi-IN"/>
        </w:rPr>
        <w:t xml:space="preserve">. </w:t>
      </w:r>
      <w:r>
        <w:rPr>
          <w:rFonts w:ascii="Times New Roman" w:eastAsia="SimSun" w:hAnsi="Times New Roman"/>
          <w:kern w:val="1"/>
          <w:sz w:val="24"/>
          <w:szCs w:val="24"/>
          <w:lang w:val="en-CA" w:eastAsia="hi-IN" w:bidi="hi-IN"/>
        </w:rPr>
        <w:t>(</w:t>
      </w:r>
      <w:r w:rsidRPr="00431111">
        <w:rPr>
          <w:rFonts w:ascii="Times New Roman" w:eastAsia="SimSun" w:hAnsi="Times New Roman"/>
          <w:kern w:val="1"/>
          <w:sz w:val="24"/>
          <w:szCs w:val="24"/>
          <w:lang w:val="en-CA" w:eastAsia="hi-IN" w:bidi="hi-IN"/>
        </w:rPr>
        <w:t>2012</w:t>
      </w:r>
      <w:r>
        <w:rPr>
          <w:rFonts w:ascii="Times New Roman" w:eastAsia="SimSun" w:hAnsi="Times New Roman"/>
          <w:kern w:val="1"/>
          <w:sz w:val="24"/>
          <w:szCs w:val="24"/>
          <w:lang w:val="en-CA" w:eastAsia="hi-IN" w:bidi="hi-IN"/>
        </w:rPr>
        <w:t>)</w:t>
      </w:r>
      <w:r w:rsidRPr="00431111">
        <w:rPr>
          <w:rFonts w:ascii="Times New Roman" w:eastAsia="SimSun" w:hAnsi="Times New Roman"/>
          <w:kern w:val="1"/>
          <w:sz w:val="24"/>
          <w:szCs w:val="24"/>
          <w:lang w:val="en-CA" w:eastAsia="hi-IN" w:bidi="hi-IN"/>
        </w:rPr>
        <w:t xml:space="preserve">. </w:t>
      </w:r>
      <w:r w:rsidRPr="00431111">
        <w:rPr>
          <w:rFonts w:ascii="Times New Roman" w:eastAsia="SimSun" w:hAnsi="Times New Roman"/>
          <w:i/>
          <w:kern w:val="1"/>
          <w:sz w:val="24"/>
          <w:szCs w:val="24"/>
          <w:lang w:val="en-CA" w:eastAsia="hi-IN" w:bidi="hi-IN"/>
        </w:rPr>
        <w:t>Boundary Control: Subnational Authoritarianism in Federal Democracies.</w:t>
      </w:r>
      <w:r w:rsidRPr="00431111">
        <w:rPr>
          <w:rFonts w:ascii="Times New Roman" w:eastAsia="SimSun" w:hAnsi="Times New Roman"/>
          <w:kern w:val="1"/>
          <w:sz w:val="24"/>
          <w:szCs w:val="24"/>
          <w:lang w:val="en-CA" w:eastAsia="hi-IN" w:bidi="hi-IN"/>
        </w:rPr>
        <w:t xml:space="preserve"> New York: Cambridge University Press.</w:t>
      </w:r>
    </w:p>
    <w:p w:rsidR="0090719B" w:rsidRPr="00431111" w:rsidRDefault="0090719B" w:rsidP="00431111">
      <w:pPr>
        <w:widowControl w:val="0"/>
        <w:suppressLineNumbers/>
        <w:spacing w:after="0" w:line="240" w:lineRule="auto"/>
        <w:ind w:left="709" w:hanging="142"/>
        <w:rPr>
          <w:rFonts w:ascii="Times New Roman" w:eastAsia="SimSun" w:hAnsi="Times New Roman"/>
          <w:kern w:val="1"/>
          <w:sz w:val="24"/>
          <w:szCs w:val="24"/>
          <w:lang w:val="en-CA" w:eastAsia="hi-IN" w:bidi="hi-IN"/>
        </w:rPr>
      </w:pPr>
      <w:r>
        <w:rPr>
          <w:rFonts w:ascii="Times New Roman" w:eastAsia="SimSun" w:hAnsi="Times New Roman"/>
          <w:kern w:val="1"/>
          <w:sz w:val="24"/>
          <w:szCs w:val="24"/>
          <w:lang w:val="en-CA" w:eastAsia="hi-IN" w:bidi="hi-IN"/>
        </w:rPr>
        <w:t>Giraudy, A</w:t>
      </w:r>
      <w:r w:rsidRPr="00431111">
        <w:rPr>
          <w:rFonts w:ascii="Times New Roman" w:eastAsia="SimSun" w:hAnsi="Times New Roman"/>
          <w:kern w:val="1"/>
          <w:sz w:val="24"/>
          <w:szCs w:val="24"/>
          <w:lang w:val="en-CA" w:eastAsia="hi-IN" w:bidi="hi-IN"/>
        </w:rPr>
        <w:t>.</w:t>
      </w:r>
      <w:r>
        <w:rPr>
          <w:rFonts w:ascii="Times New Roman" w:eastAsia="SimSun" w:hAnsi="Times New Roman"/>
          <w:kern w:val="1"/>
          <w:sz w:val="24"/>
          <w:szCs w:val="24"/>
          <w:lang w:val="en-CA" w:eastAsia="hi-IN" w:bidi="hi-IN"/>
        </w:rPr>
        <w:t xml:space="preserve"> (</w:t>
      </w:r>
      <w:r w:rsidRPr="00431111">
        <w:rPr>
          <w:rFonts w:ascii="Times New Roman" w:eastAsia="SimSun" w:hAnsi="Times New Roman"/>
          <w:kern w:val="1"/>
          <w:sz w:val="24"/>
          <w:szCs w:val="24"/>
          <w:lang w:val="en-CA" w:eastAsia="hi-IN" w:bidi="hi-IN"/>
        </w:rPr>
        <w:t xml:space="preserve"> 2010</w:t>
      </w:r>
      <w:r>
        <w:rPr>
          <w:rFonts w:ascii="Times New Roman" w:eastAsia="SimSun" w:hAnsi="Times New Roman"/>
          <w:kern w:val="1"/>
          <w:sz w:val="24"/>
          <w:szCs w:val="24"/>
          <w:lang w:val="en-CA" w:eastAsia="hi-IN" w:bidi="hi-IN"/>
        </w:rPr>
        <w:t>)</w:t>
      </w:r>
      <w:r w:rsidRPr="00431111">
        <w:rPr>
          <w:rFonts w:ascii="Times New Roman" w:eastAsia="SimSun" w:hAnsi="Times New Roman"/>
          <w:kern w:val="1"/>
          <w:sz w:val="24"/>
          <w:szCs w:val="24"/>
          <w:lang w:val="en-CA" w:eastAsia="hi-IN" w:bidi="hi-IN"/>
        </w:rPr>
        <w:t xml:space="preserve">. “The Politics of Subnational Undemocratic Regime Reproduction in Argentina and Mexico”, </w:t>
      </w:r>
      <w:r w:rsidRPr="00431111">
        <w:rPr>
          <w:rFonts w:ascii="Times New Roman" w:eastAsia="SimSun" w:hAnsi="Times New Roman"/>
          <w:i/>
          <w:kern w:val="1"/>
          <w:sz w:val="24"/>
          <w:szCs w:val="24"/>
          <w:lang w:val="en-CA" w:eastAsia="hi-IN" w:bidi="hi-IN"/>
        </w:rPr>
        <w:t>Journal of Politics in Latin America</w:t>
      </w:r>
      <w:r w:rsidRPr="00431111">
        <w:rPr>
          <w:rFonts w:ascii="Times New Roman" w:eastAsia="SimSun" w:hAnsi="Times New Roman"/>
          <w:kern w:val="1"/>
          <w:sz w:val="24"/>
          <w:szCs w:val="24"/>
          <w:lang w:val="en-CA" w:eastAsia="hi-IN" w:bidi="hi-IN"/>
        </w:rPr>
        <w:t>, 2 (2), 85-112.</w:t>
      </w:r>
    </w:p>
    <w:p w:rsidR="0090719B" w:rsidRPr="00431111" w:rsidRDefault="0090719B" w:rsidP="00431111">
      <w:pPr>
        <w:widowControl w:val="0"/>
        <w:suppressLineNumbers/>
        <w:spacing w:after="0" w:line="240" w:lineRule="auto"/>
        <w:ind w:left="709" w:hanging="142"/>
        <w:rPr>
          <w:rFonts w:ascii="Times New Roman" w:eastAsia="SimSun" w:hAnsi="Times New Roman"/>
          <w:kern w:val="1"/>
          <w:sz w:val="24"/>
          <w:szCs w:val="24"/>
          <w:lang w:val="en-US" w:eastAsia="hi-IN" w:bidi="hi-IN"/>
        </w:rPr>
      </w:pPr>
      <w:r>
        <w:rPr>
          <w:rFonts w:ascii="Times New Roman" w:eastAsia="SimSun" w:hAnsi="Times New Roman"/>
          <w:kern w:val="1"/>
          <w:sz w:val="24"/>
          <w:szCs w:val="24"/>
          <w:lang w:val="en-US" w:eastAsia="hi-IN" w:bidi="hi-IN"/>
        </w:rPr>
        <w:t>Hagopian, F</w:t>
      </w:r>
      <w:r w:rsidRPr="00431111">
        <w:rPr>
          <w:rFonts w:ascii="Times New Roman" w:eastAsia="SimSun" w:hAnsi="Times New Roman"/>
          <w:kern w:val="1"/>
          <w:sz w:val="24"/>
          <w:szCs w:val="24"/>
          <w:lang w:val="en-US" w:eastAsia="hi-IN" w:bidi="hi-IN"/>
        </w:rPr>
        <w:t>.</w:t>
      </w:r>
      <w:r>
        <w:rPr>
          <w:rFonts w:ascii="Times New Roman" w:eastAsia="SimSun" w:hAnsi="Times New Roman"/>
          <w:kern w:val="1"/>
          <w:sz w:val="24"/>
          <w:szCs w:val="24"/>
          <w:lang w:val="en-US" w:eastAsia="hi-IN" w:bidi="hi-IN"/>
        </w:rPr>
        <w:t xml:space="preserve"> (</w:t>
      </w:r>
      <w:r w:rsidRPr="00431111">
        <w:rPr>
          <w:rFonts w:ascii="Times New Roman" w:eastAsia="SimSun" w:hAnsi="Times New Roman"/>
          <w:kern w:val="1"/>
          <w:sz w:val="24"/>
          <w:szCs w:val="24"/>
          <w:lang w:val="en-US" w:eastAsia="hi-IN" w:bidi="hi-IN"/>
        </w:rPr>
        <w:t>1996</w:t>
      </w:r>
      <w:r>
        <w:rPr>
          <w:rFonts w:ascii="Times New Roman" w:eastAsia="SimSun" w:hAnsi="Times New Roman"/>
          <w:kern w:val="1"/>
          <w:sz w:val="24"/>
          <w:szCs w:val="24"/>
          <w:lang w:val="en-US" w:eastAsia="hi-IN" w:bidi="hi-IN"/>
        </w:rPr>
        <w:t>)</w:t>
      </w:r>
      <w:r w:rsidRPr="00431111">
        <w:rPr>
          <w:rFonts w:ascii="Times New Roman" w:eastAsia="SimSun" w:hAnsi="Times New Roman"/>
          <w:i/>
          <w:kern w:val="1"/>
          <w:sz w:val="24"/>
          <w:szCs w:val="24"/>
          <w:lang w:val="en-US" w:eastAsia="hi-IN" w:bidi="hi-IN"/>
        </w:rPr>
        <w:t>Traditional Politics and Regime Change in Brazil</w:t>
      </w:r>
      <w:r w:rsidRPr="00431111">
        <w:rPr>
          <w:rFonts w:ascii="Times New Roman" w:eastAsia="SimSun" w:hAnsi="Times New Roman"/>
          <w:kern w:val="1"/>
          <w:sz w:val="24"/>
          <w:szCs w:val="24"/>
          <w:lang w:val="en-US" w:eastAsia="hi-IN" w:bidi="hi-IN"/>
        </w:rPr>
        <w:t>. Cambridge University Press.</w:t>
      </w:r>
    </w:p>
    <w:p w:rsidR="0090719B" w:rsidRPr="00431111" w:rsidRDefault="0090719B" w:rsidP="00431111">
      <w:pPr>
        <w:spacing w:after="0" w:line="240" w:lineRule="auto"/>
        <w:ind w:left="709" w:hanging="142"/>
        <w:rPr>
          <w:rFonts w:ascii="Times New Roman" w:hAnsi="Times New Roman"/>
          <w:kern w:val="1"/>
          <w:sz w:val="24"/>
          <w:szCs w:val="24"/>
          <w:lang w:val="en-CA"/>
        </w:rPr>
      </w:pPr>
      <w:r w:rsidRPr="00431111">
        <w:rPr>
          <w:rFonts w:ascii="Times New Roman" w:hAnsi="Times New Roman"/>
          <w:kern w:val="1"/>
          <w:sz w:val="24"/>
          <w:szCs w:val="24"/>
          <w:lang w:val="en-CA"/>
        </w:rPr>
        <w:t xml:space="preserve">Hardt, M. y Negri, A. (2000). </w:t>
      </w:r>
      <w:r w:rsidRPr="00431111">
        <w:rPr>
          <w:rFonts w:ascii="Times New Roman" w:hAnsi="Times New Roman"/>
          <w:i/>
          <w:kern w:val="1"/>
          <w:sz w:val="24"/>
          <w:szCs w:val="24"/>
          <w:lang w:val="en-CA"/>
        </w:rPr>
        <w:t>Empire</w:t>
      </w:r>
      <w:r w:rsidRPr="00431111">
        <w:rPr>
          <w:rFonts w:ascii="Times New Roman" w:hAnsi="Times New Roman"/>
          <w:kern w:val="1"/>
          <w:sz w:val="24"/>
          <w:szCs w:val="24"/>
          <w:lang w:val="en-CA"/>
        </w:rPr>
        <w:t>. Cambridge, Massachusetts:</w:t>
      </w:r>
    </w:p>
    <w:p w:rsidR="0090719B" w:rsidRPr="00431111" w:rsidRDefault="0090719B" w:rsidP="00431111">
      <w:pPr>
        <w:spacing w:after="0" w:line="240" w:lineRule="auto"/>
        <w:ind w:left="709" w:hanging="142"/>
        <w:rPr>
          <w:rFonts w:ascii="Times New Roman" w:eastAsia="SimSun" w:hAnsi="Times New Roman"/>
          <w:kern w:val="1"/>
          <w:sz w:val="24"/>
          <w:szCs w:val="24"/>
          <w:lang w:val="en-CA" w:eastAsia="hi-IN" w:bidi="hi-IN"/>
        </w:rPr>
      </w:pPr>
      <w:r w:rsidRPr="00431111">
        <w:rPr>
          <w:rFonts w:ascii="Times New Roman" w:hAnsi="Times New Roman"/>
          <w:kern w:val="1"/>
          <w:sz w:val="24"/>
          <w:szCs w:val="24"/>
          <w:lang w:val="en-CA"/>
        </w:rPr>
        <w:t>Harvard University Press.</w:t>
      </w:r>
    </w:p>
    <w:p w:rsidR="0090719B" w:rsidRPr="00431111" w:rsidRDefault="0090719B" w:rsidP="00431111">
      <w:pPr>
        <w:widowControl w:val="0"/>
        <w:spacing w:after="0" w:line="240" w:lineRule="auto"/>
        <w:ind w:left="709" w:hanging="142"/>
        <w:rPr>
          <w:rFonts w:ascii="Times New Roman" w:eastAsia="SimSun" w:hAnsi="Times New Roman"/>
          <w:kern w:val="1"/>
          <w:sz w:val="24"/>
          <w:szCs w:val="24"/>
          <w:lang w:val="en-CA" w:eastAsia="hi-IN" w:bidi="hi-IN"/>
        </w:rPr>
      </w:pPr>
      <w:r>
        <w:rPr>
          <w:rFonts w:ascii="Times New Roman" w:eastAsia="SimSun" w:hAnsi="Times New Roman"/>
          <w:kern w:val="1"/>
          <w:sz w:val="24"/>
          <w:szCs w:val="24"/>
          <w:lang w:val="en-CA" w:eastAsia="hi-IN" w:bidi="hi-IN"/>
        </w:rPr>
        <w:t>Hobbes, T</w:t>
      </w:r>
      <w:r w:rsidRPr="00431111">
        <w:rPr>
          <w:rFonts w:ascii="Times New Roman" w:eastAsia="SimSun" w:hAnsi="Times New Roman"/>
          <w:kern w:val="1"/>
          <w:sz w:val="24"/>
          <w:szCs w:val="24"/>
          <w:lang w:val="en-CA" w:eastAsia="hi-IN" w:bidi="hi-IN"/>
        </w:rPr>
        <w:t xml:space="preserve">. </w:t>
      </w:r>
      <w:r>
        <w:rPr>
          <w:rFonts w:ascii="Times New Roman" w:eastAsia="SimSun" w:hAnsi="Times New Roman"/>
          <w:kern w:val="1"/>
          <w:sz w:val="24"/>
          <w:szCs w:val="24"/>
          <w:lang w:val="en-CA" w:eastAsia="hi-IN" w:bidi="hi-IN"/>
        </w:rPr>
        <w:t>(</w:t>
      </w:r>
      <w:r w:rsidRPr="00431111">
        <w:rPr>
          <w:rFonts w:ascii="Times New Roman" w:eastAsia="SimSun" w:hAnsi="Times New Roman"/>
          <w:kern w:val="1"/>
          <w:sz w:val="24"/>
          <w:szCs w:val="24"/>
          <w:lang w:val="en-CA" w:eastAsia="hi-IN" w:bidi="hi-IN"/>
        </w:rPr>
        <w:t>1996</w:t>
      </w:r>
      <w:r>
        <w:rPr>
          <w:rFonts w:ascii="Times New Roman" w:eastAsia="SimSun" w:hAnsi="Times New Roman"/>
          <w:kern w:val="1"/>
          <w:sz w:val="24"/>
          <w:szCs w:val="24"/>
          <w:lang w:val="en-CA" w:eastAsia="hi-IN" w:bidi="hi-IN"/>
        </w:rPr>
        <w:t xml:space="preserve">). </w:t>
      </w:r>
      <w:r w:rsidRPr="00431111">
        <w:rPr>
          <w:rFonts w:ascii="Times New Roman" w:eastAsia="SimSun" w:hAnsi="Times New Roman"/>
          <w:i/>
          <w:kern w:val="1"/>
          <w:sz w:val="24"/>
          <w:szCs w:val="24"/>
          <w:lang w:val="en-CA" w:eastAsia="hi-IN" w:bidi="hi-IN"/>
        </w:rPr>
        <w:t>Leviathan,</w:t>
      </w:r>
      <w:r>
        <w:rPr>
          <w:rFonts w:ascii="Times New Roman" w:eastAsia="SimSun" w:hAnsi="Times New Roman"/>
          <w:kern w:val="1"/>
          <w:sz w:val="24"/>
          <w:szCs w:val="24"/>
          <w:lang w:val="en-CA" w:eastAsia="hi-IN" w:bidi="hi-IN"/>
        </w:rPr>
        <w:t xml:space="preserve"> Richard Tuck. (E</w:t>
      </w:r>
      <w:r w:rsidRPr="00431111">
        <w:rPr>
          <w:rFonts w:ascii="Times New Roman" w:eastAsia="SimSun" w:hAnsi="Times New Roman"/>
          <w:kern w:val="1"/>
          <w:sz w:val="24"/>
          <w:szCs w:val="24"/>
          <w:lang w:val="en-CA" w:eastAsia="hi-IN" w:bidi="hi-IN"/>
        </w:rPr>
        <w:t xml:space="preserve">d). Cambridge: Cambridge University Press. </w:t>
      </w:r>
    </w:p>
    <w:p w:rsidR="0090719B" w:rsidRPr="00431111" w:rsidRDefault="0090719B" w:rsidP="00431111">
      <w:pPr>
        <w:widowControl w:val="0"/>
        <w:spacing w:after="0" w:line="240" w:lineRule="auto"/>
        <w:ind w:left="709" w:hanging="142"/>
        <w:rPr>
          <w:rFonts w:ascii="Times New Roman" w:eastAsia="SimSun" w:hAnsi="Times New Roman"/>
          <w:kern w:val="1"/>
          <w:sz w:val="24"/>
          <w:szCs w:val="24"/>
          <w:lang w:val="en-US" w:eastAsia="hi-IN" w:bidi="hi-IN"/>
        </w:rPr>
      </w:pPr>
      <w:r w:rsidRPr="00431111">
        <w:rPr>
          <w:rFonts w:ascii="Times New Roman" w:eastAsia="SimSun" w:hAnsi="Times New Roman"/>
          <w:kern w:val="1"/>
          <w:sz w:val="24"/>
          <w:szCs w:val="24"/>
          <w:lang w:val="en-CA" w:eastAsia="hi-IN" w:bidi="hi-IN"/>
        </w:rPr>
        <w:t>Kalmo</w:t>
      </w:r>
      <w:r>
        <w:rPr>
          <w:rFonts w:ascii="Times New Roman" w:eastAsia="SimSun" w:hAnsi="Times New Roman"/>
          <w:kern w:val="1"/>
          <w:sz w:val="24"/>
          <w:szCs w:val="24"/>
          <w:lang w:val="en-CA" w:eastAsia="hi-IN" w:bidi="hi-IN"/>
        </w:rPr>
        <w:t>, H. y Skinner, Q. (E</w:t>
      </w:r>
      <w:r w:rsidRPr="00431111">
        <w:rPr>
          <w:rFonts w:ascii="Times New Roman" w:eastAsia="SimSun" w:hAnsi="Times New Roman"/>
          <w:kern w:val="1"/>
          <w:sz w:val="24"/>
          <w:szCs w:val="24"/>
          <w:lang w:val="en-CA" w:eastAsia="hi-IN" w:bidi="hi-IN"/>
        </w:rPr>
        <w:t xml:space="preserve">ds.). </w:t>
      </w:r>
      <w:r>
        <w:rPr>
          <w:rFonts w:ascii="Times New Roman" w:eastAsia="SimSun" w:hAnsi="Times New Roman"/>
          <w:kern w:val="1"/>
          <w:sz w:val="24"/>
          <w:szCs w:val="24"/>
          <w:lang w:val="en-CA" w:eastAsia="hi-IN" w:bidi="hi-IN"/>
        </w:rPr>
        <w:t>(</w:t>
      </w:r>
      <w:r w:rsidRPr="00431111">
        <w:rPr>
          <w:rFonts w:ascii="Times New Roman" w:eastAsia="SimSun" w:hAnsi="Times New Roman"/>
          <w:kern w:val="1"/>
          <w:sz w:val="24"/>
          <w:szCs w:val="24"/>
          <w:lang w:val="en-CA" w:eastAsia="hi-IN" w:bidi="hi-IN"/>
        </w:rPr>
        <w:t>2010</w:t>
      </w:r>
      <w:r>
        <w:rPr>
          <w:rFonts w:ascii="Times New Roman" w:eastAsia="SimSun" w:hAnsi="Times New Roman"/>
          <w:kern w:val="1"/>
          <w:sz w:val="24"/>
          <w:szCs w:val="24"/>
          <w:lang w:val="en-CA" w:eastAsia="hi-IN" w:bidi="hi-IN"/>
        </w:rPr>
        <w:t>)</w:t>
      </w:r>
      <w:r w:rsidRPr="00431111">
        <w:rPr>
          <w:rFonts w:ascii="Times New Roman" w:eastAsia="SimSun" w:hAnsi="Times New Roman"/>
          <w:kern w:val="1"/>
          <w:sz w:val="24"/>
          <w:szCs w:val="24"/>
          <w:lang w:val="en-CA" w:eastAsia="hi-IN" w:bidi="hi-IN"/>
        </w:rPr>
        <w:t xml:space="preserve">. </w:t>
      </w:r>
      <w:r w:rsidRPr="00431111">
        <w:rPr>
          <w:rFonts w:ascii="Times New Roman" w:eastAsia="SimSun" w:hAnsi="Times New Roman"/>
          <w:i/>
          <w:kern w:val="1"/>
          <w:sz w:val="24"/>
          <w:szCs w:val="24"/>
          <w:lang w:val="en-CA" w:eastAsia="hi-IN" w:bidi="hi-IN"/>
        </w:rPr>
        <w:t>Sovereignty in Fragments. The Past, Present and Future of a Contested Concept</w:t>
      </w:r>
      <w:r w:rsidRPr="00431111">
        <w:rPr>
          <w:rFonts w:ascii="Times New Roman" w:eastAsia="SimSun" w:hAnsi="Times New Roman"/>
          <w:kern w:val="1"/>
          <w:sz w:val="24"/>
          <w:szCs w:val="24"/>
          <w:lang w:val="en-CA" w:eastAsia="hi-IN" w:bidi="hi-IN"/>
        </w:rPr>
        <w:t xml:space="preserve">. </w:t>
      </w:r>
      <w:r w:rsidRPr="00431111">
        <w:rPr>
          <w:rFonts w:ascii="Times New Roman" w:eastAsia="SimSun" w:hAnsi="Times New Roman"/>
          <w:kern w:val="1"/>
          <w:sz w:val="24"/>
          <w:szCs w:val="24"/>
          <w:lang w:val="en-US" w:eastAsia="hi-IN" w:bidi="hi-IN"/>
        </w:rPr>
        <w:t>New York: Cambridge UniversityPress.</w:t>
      </w:r>
    </w:p>
    <w:p w:rsidR="0090719B" w:rsidRPr="00431111" w:rsidRDefault="0090719B" w:rsidP="00431111">
      <w:pPr>
        <w:widowControl w:val="0"/>
        <w:spacing w:after="0" w:line="240" w:lineRule="auto"/>
        <w:ind w:left="709" w:hanging="142"/>
        <w:rPr>
          <w:rFonts w:ascii="Times New Roman" w:eastAsia="SimSun" w:hAnsi="Times New Roman"/>
          <w:kern w:val="1"/>
          <w:sz w:val="24"/>
          <w:szCs w:val="24"/>
          <w:lang w:val="es-ES" w:eastAsia="hi-IN" w:bidi="hi-IN"/>
        </w:rPr>
      </w:pPr>
      <w:r>
        <w:rPr>
          <w:rFonts w:ascii="Times New Roman" w:eastAsia="SimSun" w:hAnsi="Times New Roman"/>
          <w:kern w:val="1"/>
          <w:sz w:val="24"/>
          <w:szCs w:val="24"/>
          <w:lang w:val="en-US" w:eastAsia="hi-IN" w:bidi="hi-IN"/>
        </w:rPr>
        <w:t>Karl, T. L</w:t>
      </w:r>
      <w:r w:rsidRPr="00431111">
        <w:rPr>
          <w:rFonts w:ascii="Times New Roman" w:eastAsia="SimSun" w:hAnsi="Times New Roman"/>
          <w:kern w:val="1"/>
          <w:sz w:val="24"/>
          <w:szCs w:val="24"/>
          <w:lang w:val="en-US" w:eastAsia="hi-IN" w:bidi="hi-IN"/>
        </w:rPr>
        <w:t>.</w:t>
      </w:r>
      <w:r>
        <w:rPr>
          <w:rFonts w:ascii="Times New Roman" w:eastAsia="SimSun" w:hAnsi="Times New Roman"/>
          <w:kern w:val="1"/>
          <w:sz w:val="24"/>
          <w:szCs w:val="24"/>
          <w:lang w:val="en-US" w:eastAsia="hi-IN" w:bidi="hi-IN"/>
        </w:rPr>
        <w:t xml:space="preserve"> (</w:t>
      </w:r>
      <w:r w:rsidRPr="00431111">
        <w:rPr>
          <w:rFonts w:ascii="Times New Roman" w:eastAsia="SimSun" w:hAnsi="Times New Roman"/>
          <w:kern w:val="1"/>
          <w:sz w:val="24"/>
          <w:szCs w:val="24"/>
          <w:lang w:val="en-CA" w:eastAsia="hi-IN" w:bidi="hi-IN"/>
        </w:rPr>
        <w:t>1995</w:t>
      </w:r>
      <w:r>
        <w:rPr>
          <w:rFonts w:ascii="Times New Roman" w:eastAsia="SimSun" w:hAnsi="Times New Roman"/>
          <w:kern w:val="1"/>
          <w:sz w:val="24"/>
          <w:szCs w:val="24"/>
          <w:lang w:val="en-CA" w:eastAsia="hi-IN" w:bidi="hi-IN"/>
        </w:rPr>
        <w:t>)</w:t>
      </w:r>
      <w:r w:rsidRPr="00431111">
        <w:rPr>
          <w:rFonts w:ascii="Times New Roman" w:eastAsia="SimSun" w:hAnsi="Times New Roman"/>
          <w:kern w:val="1"/>
          <w:sz w:val="24"/>
          <w:szCs w:val="24"/>
          <w:lang w:val="en-CA" w:eastAsia="hi-IN" w:bidi="hi-IN"/>
        </w:rPr>
        <w:t xml:space="preserve">. “The Hybrid regimes of Central America.” </w:t>
      </w:r>
      <w:r w:rsidRPr="00431111">
        <w:rPr>
          <w:rFonts w:ascii="Times New Roman" w:eastAsia="SimSun" w:hAnsi="Times New Roman"/>
          <w:i/>
          <w:kern w:val="1"/>
          <w:sz w:val="24"/>
          <w:szCs w:val="24"/>
          <w:lang w:val="es-ES" w:eastAsia="hi-IN" w:bidi="hi-IN"/>
        </w:rPr>
        <w:t>Journal of Democracy</w:t>
      </w:r>
      <w:r w:rsidRPr="00431111">
        <w:rPr>
          <w:rFonts w:ascii="Times New Roman" w:eastAsia="SimSun" w:hAnsi="Times New Roman"/>
          <w:kern w:val="1"/>
          <w:sz w:val="24"/>
          <w:szCs w:val="24"/>
          <w:lang w:val="es-ES" w:eastAsia="hi-IN" w:bidi="hi-IN"/>
        </w:rPr>
        <w:t xml:space="preserve"> 6 (3), 72-86.</w:t>
      </w:r>
    </w:p>
    <w:p w:rsidR="0090719B" w:rsidRPr="00431111" w:rsidRDefault="0090719B" w:rsidP="00431111">
      <w:pPr>
        <w:widowControl w:val="0"/>
        <w:spacing w:after="0" w:line="240" w:lineRule="auto"/>
        <w:ind w:left="709" w:hanging="142"/>
        <w:rPr>
          <w:rFonts w:ascii="Times New Roman" w:eastAsia="SimSun" w:hAnsi="Times New Roman"/>
          <w:kern w:val="1"/>
          <w:sz w:val="24"/>
          <w:szCs w:val="24"/>
          <w:lang w:val="en-CA" w:eastAsia="hi-IN" w:bidi="hi-IN"/>
        </w:rPr>
      </w:pPr>
      <w:r w:rsidRPr="00431111">
        <w:rPr>
          <w:rFonts w:ascii="Times New Roman" w:hAnsi="Times New Roman"/>
          <w:sz w:val="24"/>
          <w:szCs w:val="24"/>
          <w:lang w:val="es-ES" w:eastAsia="fr-CA"/>
        </w:rPr>
        <w:t>Marín, M.</w:t>
      </w:r>
      <w:r>
        <w:rPr>
          <w:rFonts w:ascii="Times New Roman" w:hAnsi="Times New Roman"/>
          <w:sz w:val="24"/>
          <w:szCs w:val="24"/>
          <w:lang w:val="es-ES" w:eastAsia="fr-CA"/>
        </w:rPr>
        <w:t xml:space="preserve"> C.</w:t>
      </w:r>
      <w:r w:rsidRPr="00431111">
        <w:rPr>
          <w:rFonts w:ascii="Times New Roman" w:hAnsi="Times New Roman"/>
          <w:sz w:val="24"/>
          <w:szCs w:val="24"/>
          <w:lang w:val="es-ES" w:eastAsia="fr-CA"/>
        </w:rPr>
        <w:t xml:space="preserve"> “El ‘No a la Mina’ de Esquel como acontecimiento: otro mundo posible.” En </w:t>
      </w:r>
      <w:r>
        <w:rPr>
          <w:rFonts w:ascii="Times New Roman" w:eastAsia="SimSun" w:hAnsi="Times New Roman"/>
          <w:kern w:val="1"/>
          <w:sz w:val="24"/>
          <w:szCs w:val="24"/>
          <w:lang w:val="es-ES" w:eastAsia="hi-IN" w:bidi="hi-IN"/>
        </w:rPr>
        <w:t>Svampa, M. y Antonelli, M. A. (E</w:t>
      </w:r>
      <w:r w:rsidRPr="00431111">
        <w:rPr>
          <w:rFonts w:ascii="Times New Roman" w:eastAsia="SimSun" w:hAnsi="Times New Roman"/>
          <w:kern w:val="1"/>
          <w:sz w:val="24"/>
          <w:szCs w:val="24"/>
          <w:lang w:val="es-ES" w:eastAsia="hi-IN" w:bidi="hi-IN"/>
        </w:rPr>
        <w:t xml:space="preserve">ds.). (2009). </w:t>
      </w:r>
      <w:r w:rsidRPr="00431111">
        <w:rPr>
          <w:rFonts w:ascii="Times New Roman" w:eastAsia="SimSun" w:hAnsi="Times New Roman"/>
          <w:i/>
          <w:kern w:val="1"/>
          <w:sz w:val="24"/>
          <w:szCs w:val="24"/>
          <w:lang w:val="es-ES" w:eastAsia="hi-IN" w:bidi="hi-IN"/>
        </w:rPr>
        <w:t>Minería transnacional, narrativas del desarrollo y resistencias sociales</w:t>
      </w:r>
      <w:r w:rsidRPr="00431111">
        <w:rPr>
          <w:rFonts w:ascii="Times New Roman" w:eastAsia="SimSun" w:hAnsi="Times New Roman"/>
          <w:kern w:val="1"/>
          <w:sz w:val="24"/>
          <w:szCs w:val="24"/>
          <w:lang w:val="es-ES" w:eastAsia="hi-IN" w:bidi="hi-IN"/>
        </w:rPr>
        <w:t xml:space="preserve">. </w:t>
      </w:r>
      <w:r w:rsidRPr="00431111">
        <w:rPr>
          <w:rFonts w:ascii="Times New Roman" w:eastAsia="SimSun" w:hAnsi="Times New Roman"/>
          <w:kern w:val="1"/>
          <w:sz w:val="24"/>
          <w:szCs w:val="24"/>
          <w:lang w:val="en-CA" w:eastAsia="hi-IN" w:bidi="hi-IN"/>
        </w:rPr>
        <w:t xml:space="preserve">Buenos Aires: Biblos. </w:t>
      </w:r>
    </w:p>
    <w:p w:rsidR="0090719B" w:rsidRDefault="0090719B" w:rsidP="00431111">
      <w:pPr>
        <w:widowControl w:val="0"/>
        <w:suppressLineNumbers/>
        <w:spacing w:after="0" w:line="240" w:lineRule="auto"/>
        <w:ind w:left="709" w:hanging="142"/>
        <w:rPr>
          <w:rFonts w:ascii="Times New Roman" w:eastAsia="SimSun" w:hAnsi="Times New Roman" w:cs="Mangal"/>
          <w:kern w:val="1"/>
          <w:sz w:val="24"/>
          <w:szCs w:val="24"/>
          <w:lang w:val="en-CA" w:eastAsia="hi-IN" w:bidi="hi-IN"/>
        </w:rPr>
      </w:pPr>
      <w:r w:rsidRPr="00431111">
        <w:rPr>
          <w:rFonts w:ascii="Times New Roman" w:eastAsia="SimSun" w:hAnsi="Times New Roman" w:cs="Mangal"/>
          <w:kern w:val="1"/>
          <w:sz w:val="24"/>
          <w:szCs w:val="24"/>
          <w:lang w:val="en-CA" w:eastAsia="hi-IN" w:bidi="hi-IN"/>
        </w:rPr>
        <w:t xml:space="preserve">Levitsky, S. y Kenneth, M. R. (2012). </w:t>
      </w:r>
      <w:r w:rsidRPr="00431111">
        <w:rPr>
          <w:rFonts w:ascii="Times New Roman" w:eastAsia="SimSun" w:hAnsi="Times New Roman" w:cs="Mangal"/>
          <w:i/>
          <w:kern w:val="1"/>
          <w:sz w:val="24"/>
          <w:szCs w:val="24"/>
          <w:lang w:val="en-CA" w:eastAsia="hi-IN" w:bidi="hi-IN"/>
        </w:rPr>
        <w:t>The Resurgence of the Latin American Left</w:t>
      </w:r>
      <w:r w:rsidRPr="00431111">
        <w:rPr>
          <w:rFonts w:ascii="Times New Roman" w:eastAsia="SimSun" w:hAnsi="Times New Roman" w:cs="Mangal"/>
          <w:kern w:val="1"/>
          <w:sz w:val="24"/>
          <w:szCs w:val="24"/>
          <w:lang w:val="en-CA" w:eastAsia="hi-IN" w:bidi="hi-IN"/>
        </w:rPr>
        <w:t xml:space="preserve">. Baltimore: John Hopkins University Press. </w:t>
      </w:r>
    </w:p>
    <w:p w:rsidR="0090719B" w:rsidRPr="00431111" w:rsidRDefault="0090719B" w:rsidP="00431111">
      <w:pPr>
        <w:widowControl w:val="0"/>
        <w:suppressLineNumbers/>
        <w:spacing w:after="0" w:line="240" w:lineRule="auto"/>
        <w:ind w:left="709" w:hanging="142"/>
        <w:rPr>
          <w:rFonts w:ascii="Times New Roman" w:eastAsia="SimSun" w:hAnsi="Times New Roman" w:cs="Mangal"/>
          <w:kern w:val="1"/>
          <w:sz w:val="24"/>
          <w:szCs w:val="24"/>
          <w:lang w:val="en-CA" w:eastAsia="hi-IN" w:bidi="hi-IN"/>
        </w:rPr>
      </w:pPr>
      <w:r>
        <w:rPr>
          <w:rFonts w:ascii="Times New Roman" w:eastAsia="SimSun" w:hAnsi="Times New Roman" w:cs="Mangal"/>
          <w:kern w:val="1"/>
          <w:sz w:val="24"/>
          <w:szCs w:val="24"/>
          <w:lang w:val="en-CA" w:eastAsia="hi-IN" w:bidi="hi-IN"/>
        </w:rPr>
        <w:t>Moody, R.(</w:t>
      </w:r>
      <w:r w:rsidRPr="006C2873">
        <w:rPr>
          <w:rFonts w:ascii="Times New Roman" w:eastAsia="SimSun" w:hAnsi="Times New Roman" w:cs="Mangal"/>
          <w:kern w:val="1"/>
          <w:sz w:val="24"/>
          <w:szCs w:val="24"/>
          <w:lang w:val="en-CA" w:eastAsia="hi-IN" w:bidi="hi-IN"/>
        </w:rPr>
        <w:t>2007</w:t>
      </w:r>
      <w:r w:rsidRPr="006C2873">
        <w:rPr>
          <w:rFonts w:ascii="Times New Roman" w:eastAsia="SimSun" w:hAnsi="Times New Roman" w:cs="Mangal"/>
          <w:i/>
          <w:kern w:val="1"/>
          <w:sz w:val="24"/>
          <w:szCs w:val="24"/>
          <w:lang w:val="en-CA" w:eastAsia="hi-IN" w:bidi="hi-IN"/>
        </w:rPr>
        <w:t>). Rocks and Hard Places: The Globalization of Mining</w:t>
      </w:r>
      <w:r w:rsidRPr="006C2873">
        <w:rPr>
          <w:rFonts w:ascii="Times New Roman" w:eastAsia="SimSun" w:hAnsi="Times New Roman" w:cs="Mangal"/>
          <w:kern w:val="1"/>
          <w:sz w:val="24"/>
          <w:szCs w:val="24"/>
          <w:lang w:val="en-CA" w:eastAsia="hi-IN" w:bidi="hi-IN"/>
        </w:rPr>
        <w:t>. New York: Zed Books.</w:t>
      </w:r>
    </w:p>
    <w:p w:rsidR="0090719B" w:rsidRPr="00431111" w:rsidRDefault="0090719B" w:rsidP="00431111">
      <w:pPr>
        <w:widowControl w:val="0"/>
        <w:spacing w:after="0" w:line="240" w:lineRule="auto"/>
        <w:ind w:left="709" w:hanging="142"/>
        <w:rPr>
          <w:rFonts w:ascii="Times New Roman" w:eastAsia="SimSun" w:hAnsi="Times New Roman"/>
          <w:kern w:val="1"/>
          <w:sz w:val="24"/>
          <w:szCs w:val="24"/>
          <w:lang w:val="en-CA" w:eastAsia="hi-IN" w:bidi="hi-IN"/>
        </w:rPr>
      </w:pPr>
      <w:r w:rsidRPr="00431111">
        <w:rPr>
          <w:rFonts w:ascii="Times New Roman" w:eastAsia="SimSun" w:hAnsi="Times New Roman"/>
          <w:kern w:val="1"/>
          <w:sz w:val="24"/>
          <w:szCs w:val="24"/>
          <w:lang w:val="en-CA" w:eastAsia="hi-IN" w:bidi="hi-IN"/>
        </w:rPr>
        <w:t>Mouffe, C. (2005).</w:t>
      </w:r>
      <w:r w:rsidRPr="00431111">
        <w:rPr>
          <w:rFonts w:ascii="Times New Roman" w:eastAsia="SimSun" w:hAnsi="Times New Roman"/>
          <w:i/>
          <w:kern w:val="1"/>
          <w:sz w:val="24"/>
          <w:szCs w:val="24"/>
          <w:lang w:val="en-CA" w:eastAsia="hi-IN" w:bidi="hi-IN"/>
        </w:rPr>
        <w:t xml:space="preserve"> The Democratic Paradox</w:t>
      </w:r>
      <w:r w:rsidRPr="00431111">
        <w:rPr>
          <w:rFonts w:ascii="Times New Roman" w:eastAsia="SimSun" w:hAnsi="Times New Roman"/>
          <w:kern w:val="1"/>
          <w:sz w:val="24"/>
          <w:szCs w:val="24"/>
          <w:lang w:val="en-CA" w:eastAsia="hi-IN" w:bidi="hi-IN"/>
        </w:rPr>
        <w:t xml:space="preserve">. New York: Verso. </w:t>
      </w:r>
    </w:p>
    <w:p w:rsidR="0090719B" w:rsidRPr="00431111" w:rsidRDefault="0090719B" w:rsidP="00431111">
      <w:pPr>
        <w:spacing w:after="0" w:line="240" w:lineRule="auto"/>
        <w:ind w:left="709" w:hanging="142"/>
        <w:rPr>
          <w:rFonts w:ascii="Times New Roman" w:hAnsi="Times New Roman"/>
          <w:sz w:val="24"/>
          <w:szCs w:val="24"/>
          <w:lang w:val="fr-CA" w:eastAsia="fr-CA"/>
        </w:rPr>
      </w:pPr>
      <w:r w:rsidRPr="00E22CB6">
        <w:rPr>
          <w:rFonts w:ascii="Times New Roman" w:hAnsi="Times New Roman"/>
          <w:sz w:val="24"/>
          <w:szCs w:val="24"/>
          <w:lang w:val="es-ES" w:eastAsia="fr-CA"/>
        </w:rPr>
        <w:t xml:space="preserve">Martinez-Alier, J. (2004). </w:t>
      </w:r>
      <w:r w:rsidRPr="00431111">
        <w:rPr>
          <w:rFonts w:ascii="Times New Roman" w:hAnsi="Times New Roman"/>
          <w:i/>
          <w:sz w:val="24"/>
          <w:szCs w:val="24"/>
          <w:lang w:val="es-ES" w:eastAsia="fr-CA"/>
        </w:rPr>
        <w:t>El ecologismo de los pobres. ConflictosAmbientales y lenguajes de valoración</w:t>
      </w:r>
      <w:r w:rsidRPr="00431111">
        <w:rPr>
          <w:rFonts w:ascii="Times New Roman" w:hAnsi="Times New Roman"/>
          <w:sz w:val="24"/>
          <w:szCs w:val="24"/>
          <w:lang w:val="es-ES" w:eastAsia="fr-CA"/>
        </w:rPr>
        <w:t xml:space="preserve">. </w:t>
      </w:r>
      <w:r w:rsidRPr="00431111">
        <w:rPr>
          <w:rFonts w:ascii="Times New Roman" w:hAnsi="Times New Roman"/>
          <w:sz w:val="24"/>
          <w:szCs w:val="24"/>
          <w:lang w:val="fr-CA" w:eastAsia="fr-CA"/>
        </w:rPr>
        <w:t>Barcelona: IcariaAntrazyt-Flacso.</w:t>
      </w:r>
    </w:p>
    <w:p w:rsidR="0090719B" w:rsidRPr="00431111" w:rsidRDefault="0090719B" w:rsidP="00431111">
      <w:pPr>
        <w:spacing w:after="0" w:line="240" w:lineRule="auto"/>
        <w:ind w:left="709" w:hanging="142"/>
        <w:rPr>
          <w:rFonts w:ascii="Times New Roman" w:hAnsi="Times New Roman"/>
          <w:sz w:val="24"/>
          <w:szCs w:val="24"/>
          <w:lang w:val="en-CA" w:eastAsia="fr-CA"/>
        </w:rPr>
      </w:pPr>
      <w:r w:rsidRPr="00431111">
        <w:rPr>
          <w:rFonts w:ascii="Times New Roman" w:hAnsi="Times New Roman"/>
          <w:sz w:val="24"/>
          <w:szCs w:val="24"/>
          <w:lang w:val="fr-CA" w:eastAsia="fr-CA"/>
        </w:rPr>
        <w:t xml:space="preserve">––– (2012). « L'écologisme des pauvres, vingt ans après: Inde, Mexique et Pérou ». </w:t>
      </w:r>
      <w:r w:rsidRPr="00431111">
        <w:rPr>
          <w:rFonts w:ascii="Times New Roman" w:hAnsi="Times New Roman"/>
          <w:i/>
          <w:sz w:val="24"/>
          <w:szCs w:val="24"/>
          <w:lang w:val="en-CA" w:eastAsia="fr-CA"/>
        </w:rPr>
        <w:t>Ecologie &amp; Politique</w:t>
      </w:r>
      <w:r w:rsidRPr="00431111">
        <w:rPr>
          <w:rFonts w:ascii="Times New Roman" w:hAnsi="Times New Roman"/>
          <w:sz w:val="24"/>
          <w:szCs w:val="24"/>
          <w:lang w:val="en-CA" w:eastAsia="fr-CA"/>
        </w:rPr>
        <w:t>, 2 (45), 93-116.</w:t>
      </w:r>
    </w:p>
    <w:p w:rsidR="0090719B" w:rsidRPr="00431111" w:rsidRDefault="0090719B" w:rsidP="00431111">
      <w:pPr>
        <w:widowControl w:val="0"/>
        <w:spacing w:after="0" w:line="240" w:lineRule="auto"/>
        <w:ind w:left="709" w:hanging="142"/>
        <w:rPr>
          <w:rFonts w:ascii="Times New Roman" w:eastAsia="SimSun" w:hAnsi="Times New Roman"/>
          <w:kern w:val="1"/>
          <w:sz w:val="24"/>
          <w:szCs w:val="24"/>
          <w:lang w:val="en-CA" w:eastAsia="hi-IN" w:bidi="hi-IN"/>
        </w:rPr>
      </w:pPr>
      <w:r>
        <w:rPr>
          <w:rFonts w:ascii="Times New Roman" w:eastAsia="SimSun" w:hAnsi="Times New Roman"/>
          <w:kern w:val="1"/>
          <w:sz w:val="24"/>
          <w:szCs w:val="24"/>
          <w:lang w:val="en-CA" w:eastAsia="hi-IN" w:bidi="hi-IN"/>
        </w:rPr>
        <w:t>Montero, A</w:t>
      </w:r>
      <w:r w:rsidRPr="00431111">
        <w:rPr>
          <w:rFonts w:ascii="Times New Roman" w:eastAsia="SimSun" w:hAnsi="Times New Roman"/>
          <w:kern w:val="1"/>
          <w:sz w:val="24"/>
          <w:szCs w:val="24"/>
          <w:lang w:val="en-CA" w:eastAsia="hi-IN" w:bidi="hi-IN"/>
        </w:rPr>
        <w:t xml:space="preserve">. </w:t>
      </w:r>
      <w:r>
        <w:rPr>
          <w:rFonts w:ascii="Times New Roman" w:eastAsia="SimSun" w:hAnsi="Times New Roman"/>
          <w:kern w:val="1"/>
          <w:sz w:val="24"/>
          <w:szCs w:val="24"/>
          <w:lang w:val="en-CA" w:eastAsia="hi-IN" w:bidi="hi-IN"/>
        </w:rPr>
        <w:t>(</w:t>
      </w:r>
      <w:r w:rsidRPr="00431111">
        <w:rPr>
          <w:rFonts w:ascii="Times New Roman" w:eastAsia="SimSun" w:hAnsi="Times New Roman"/>
          <w:kern w:val="1"/>
          <w:sz w:val="24"/>
          <w:szCs w:val="24"/>
          <w:lang w:val="en-CA" w:eastAsia="hi-IN" w:bidi="hi-IN"/>
        </w:rPr>
        <w:t>2010</w:t>
      </w:r>
      <w:r>
        <w:rPr>
          <w:rFonts w:ascii="Times New Roman" w:eastAsia="SimSun" w:hAnsi="Times New Roman"/>
          <w:kern w:val="1"/>
          <w:sz w:val="24"/>
          <w:szCs w:val="24"/>
          <w:lang w:val="en-CA" w:eastAsia="hi-IN" w:bidi="hi-IN"/>
        </w:rPr>
        <w:t>)</w:t>
      </w:r>
      <w:r w:rsidRPr="00431111">
        <w:rPr>
          <w:rFonts w:ascii="Times New Roman" w:eastAsia="SimSun" w:hAnsi="Times New Roman"/>
          <w:kern w:val="1"/>
          <w:sz w:val="24"/>
          <w:szCs w:val="24"/>
          <w:lang w:val="en-CA" w:eastAsia="hi-IN" w:bidi="hi-IN"/>
        </w:rPr>
        <w:t xml:space="preserve">. “No Country for leftists? Clientelist Continuity and the 2006Vote in the Brazilian Northeast”, </w:t>
      </w:r>
      <w:r w:rsidRPr="00431111">
        <w:rPr>
          <w:rFonts w:ascii="Times New Roman" w:eastAsia="SimSun" w:hAnsi="Times New Roman"/>
          <w:i/>
          <w:kern w:val="1"/>
          <w:sz w:val="24"/>
          <w:szCs w:val="24"/>
          <w:lang w:val="en-CA" w:eastAsia="hi-IN" w:bidi="hi-IN"/>
        </w:rPr>
        <w:t>Journal of Politics in Latin America</w:t>
      </w:r>
      <w:r>
        <w:rPr>
          <w:rFonts w:ascii="Times New Roman" w:eastAsia="SimSun" w:hAnsi="Times New Roman"/>
          <w:kern w:val="1"/>
          <w:sz w:val="24"/>
          <w:szCs w:val="24"/>
          <w:lang w:val="en-CA" w:eastAsia="hi-IN" w:bidi="hi-IN"/>
        </w:rPr>
        <w:t>, 2, (2),</w:t>
      </w:r>
      <w:r w:rsidRPr="00431111">
        <w:rPr>
          <w:rFonts w:ascii="Times New Roman" w:eastAsia="SimSun" w:hAnsi="Times New Roman"/>
          <w:kern w:val="1"/>
          <w:sz w:val="24"/>
          <w:szCs w:val="24"/>
          <w:lang w:val="en-CA" w:eastAsia="hi-IN" w:bidi="hi-IN"/>
        </w:rPr>
        <w:t xml:space="preserve"> 85-112. </w:t>
      </w:r>
    </w:p>
    <w:p w:rsidR="0090719B" w:rsidRPr="00431111" w:rsidRDefault="0090719B" w:rsidP="00431111">
      <w:pPr>
        <w:widowControl w:val="0"/>
        <w:suppressLineNumbers/>
        <w:spacing w:after="0" w:line="240" w:lineRule="auto"/>
        <w:ind w:left="709" w:hanging="142"/>
        <w:rPr>
          <w:rFonts w:ascii="Times New Roman" w:eastAsia="SimSun" w:hAnsi="Times New Roman"/>
          <w:kern w:val="1"/>
          <w:sz w:val="24"/>
          <w:szCs w:val="24"/>
          <w:lang w:val="fr-CA" w:eastAsia="hi-IN" w:bidi="hi-IN"/>
        </w:rPr>
      </w:pPr>
      <w:r w:rsidRPr="00431111">
        <w:rPr>
          <w:rFonts w:ascii="Times New Roman" w:eastAsia="SimSun" w:hAnsi="Times New Roman"/>
          <w:kern w:val="1"/>
          <w:sz w:val="24"/>
          <w:szCs w:val="24"/>
          <w:lang w:val="fr-CA" w:eastAsia="hi-IN" w:bidi="hi-IN"/>
        </w:rPr>
        <w:t xml:space="preserve">Negri, A. (2008). « La souveraineté aujourd’hui: entre vieilles fragmentations et nouvelles excédences », </w:t>
      </w:r>
      <w:r w:rsidRPr="00431111">
        <w:rPr>
          <w:rFonts w:ascii="Times New Roman" w:eastAsia="SimSun" w:hAnsi="Times New Roman"/>
          <w:i/>
          <w:kern w:val="1"/>
          <w:sz w:val="24"/>
          <w:szCs w:val="24"/>
          <w:lang w:val="fr-CA" w:eastAsia="hi-IN" w:bidi="hi-IN"/>
        </w:rPr>
        <w:t>Tracés</w:t>
      </w:r>
      <w:r w:rsidRPr="00431111">
        <w:rPr>
          <w:rFonts w:ascii="Times New Roman" w:eastAsia="SimSun" w:hAnsi="Times New Roman"/>
          <w:kern w:val="1"/>
          <w:sz w:val="24"/>
          <w:szCs w:val="24"/>
          <w:lang w:val="fr-CA" w:eastAsia="hi-IN" w:bidi="hi-IN"/>
        </w:rPr>
        <w:t xml:space="preserve">, </w:t>
      </w:r>
      <w:r w:rsidRPr="00431111">
        <w:rPr>
          <w:rFonts w:ascii="Times New Roman" w:eastAsia="SimSun" w:hAnsi="Times New Roman"/>
          <w:i/>
          <w:kern w:val="1"/>
          <w:sz w:val="24"/>
          <w:szCs w:val="24"/>
          <w:lang w:val="fr-CA" w:eastAsia="hi-IN" w:bidi="hi-IN"/>
        </w:rPr>
        <w:t>3</w:t>
      </w:r>
      <w:r w:rsidRPr="00431111">
        <w:rPr>
          <w:rFonts w:ascii="Times New Roman" w:eastAsia="SimSun" w:hAnsi="Times New Roman"/>
          <w:kern w:val="1"/>
          <w:sz w:val="24"/>
          <w:szCs w:val="24"/>
          <w:lang w:val="fr-CA" w:eastAsia="hi-IN" w:bidi="hi-IN"/>
        </w:rPr>
        <w:t xml:space="preserve">, 101-119. </w:t>
      </w:r>
    </w:p>
    <w:p w:rsidR="0090719B" w:rsidRDefault="0090719B" w:rsidP="00431111">
      <w:pPr>
        <w:widowControl w:val="0"/>
        <w:suppressLineNumbers/>
        <w:spacing w:after="0" w:line="240" w:lineRule="auto"/>
        <w:ind w:left="709" w:hanging="142"/>
        <w:rPr>
          <w:rFonts w:ascii="Times New Roman" w:eastAsia="SimSun" w:hAnsi="Times New Roman"/>
          <w:kern w:val="1"/>
          <w:sz w:val="24"/>
          <w:szCs w:val="24"/>
          <w:lang w:val="fr-CA" w:eastAsia="hi-IN" w:bidi="hi-IN"/>
        </w:rPr>
      </w:pPr>
      <w:r w:rsidRPr="00431111">
        <w:rPr>
          <w:rFonts w:ascii="Times New Roman" w:eastAsia="SimSun" w:hAnsi="Times New Roman"/>
          <w:kern w:val="1"/>
          <w:sz w:val="24"/>
          <w:szCs w:val="24"/>
          <w:lang w:val="fr-CA" w:eastAsia="hi-IN" w:bidi="hi-IN"/>
        </w:rPr>
        <w:t xml:space="preserve">Renauld, M. (2014). « Genèse de la campagne antiminière d'Esquel en 2002-2003: entre innovation et continuitié. » </w:t>
      </w:r>
      <w:r w:rsidRPr="00431111">
        <w:rPr>
          <w:rFonts w:ascii="Times New Roman" w:eastAsia="SimSun" w:hAnsi="Times New Roman"/>
          <w:i/>
          <w:kern w:val="1"/>
          <w:sz w:val="24"/>
          <w:szCs w:val="24"/>
          <w:lang w:val="fr-CA" w:eastAsia="hi-IN" w:bidi="hi-IN"/>
        </w:rPr>
        <w:t>Revue canadienne d'études latino-américaines et des Caraïbes.</w:t>
      </w:r>
      <w:r w:rsidRPr="00431111">
        <w:rPr>
          <w:rFonts w:ascii="Times New Roman" w:eastAsia="SimSun" w:hAnsi="Times New Roman"/>
          <w:kern w:val="1"/>
          <w:sz w:val="24"/>
          <w:szCs w:val="24"/>
          <w:lang w:val="fr-CA" w:eastAsia="hi-IN" w:bidi="hi-IN"/>
        </w:rPr>
        <w:t xml:space="preserve"> 39, (2), 192-210.</w:t>
      </w:r>
    </w:p>
    <w:p w:rsidR="0090719B" w:rsidRPr="006C2873" w:rsidRDefault="0090719B" w:rsidP="00431111">
      <w:pPr>
        <w:widowControl w:val="0"/>
        <w:suppressLineNumbers/>
        <w:spacing w:after="0" w:line="240" w:lineRule="auto"/>
        <w:ind w:left="709" w:hanging="142"/>
        <w:rPr>
          <w:rFonts w:ascii="Times New Roman" w:eastAsia="SimSun" w:hAnsi="Times New Roman"/>
          <w:kern w:val="1"/>
          <w:sz w:val="24"/>
          <w:szCs w:val="24"/>
          <w:lang w:val="es-ES" w:eastAsia="hi-IN" w:bidi="hi-IN"/>
        </w:rPr>
      </w:pPr>
      <w:r w:rsidRPr="00E22CB6">
        <w:rPr>
          <w:rFonts w:ascii="Times New Roman" w:eastAsia="SimSun" w:hAnsi="Times New Roman"/>
          <w:kern w:val="1"/>
          <w:sz w:val="24"/>
          <w:szCs w:val="24"/>
          <w:lang w:val="fr-CA" w:eastAsia="hi-IN" w:bidi="hi-IN"/>
        </w:rPr>
        <w:t xml:space="preserve">Rodríguez Pardo, J. (2009). </w:t>
      </w:r>
      <w:r w:rsidRPr="006C2873">
        <w:rPr>
          <w:rFonts w:ascii="Times New Roman" w:eastAsia="SimSun" w:hAnsi="Times New Roman"/>
          <w:i/>
          <w:kern w:val="1"/>
          <w:sz w:val="24"/>
          <w:szCs w:val="24"/>
          <w:lang w:val="es-ES" w:eastAsia="hi-IN" w:bidi="hi-IN"/>
        </w:rPr>
        <w:t>Vienen por el oro, vienen por todo</w:t>
      </w:r>
      <w:r w:rsidRPr="006C2873">
        <w:rPr>
          <w:rFonts w:ascii="Times New Roman" w:eastAsia="SimSun" w:hAnsi="Times New Roman"/>
          <w:kern w:val="1"/>
          <w:sz w:val="24"/>
          <w:szCs w:val="24"/>
          <w:lang w:val="es-ES" w:eastAsia="hi-IN" w:bidi="hi-IN"/>
        </w:rPr>
        <w:t>, Buenos Aires: CICCUS.</w:t>
      </w:r>
    </w:p>
    <w:p w:rsidR="0090719B" w:rsidRDefault="0090719B" w:rsidP="00431111">
      <w:pPr>
        <w:widowControl w:val="0"/>
        <w:suppressLineNumbers/>
        <w:spacing w:after="0" w:line="240" w:lineRule="auto"/>
        <w:ind w:left="709" w:hanging="142"/>
        <w:rPr>
          <w:rFonts w:ascii="Times New Roman" w:eastAsia="SimSun" w:hAnsi="Times New Roman"/>
          <w:kern w:val="1"/>
          <w:sz w:val="24"/>
          <w:szCs w:val="24"/>
          <w:lang w:val="en-CA" w:eastAsia="hi-IN" w:bidi="hi-IN"/>
        </w:rPr>
      </w:pPr>
      <w:r w:rsidRPr="00E22CB6">
        <w:rPr>
          <w:rFonts w:ascii="Times New Roman" w:eastAsia="SimSun" w:hAnsi="Times New Roman"/>
          <w:kern w:val="1"/>
          <w:sz w:val="24"/>
          <w:szCs w:val="24"/>
          <w:lang w:val="en-CA" w:eastAsia="hi-IN" w:bidi="hi-IN"/>
        </w:rPr>
        <w:t xml:space="preserve">Sassen, S. (2014). </w:t>
      </w:r>
      <w:r w:rsidRPr="00431111">
        <w:rPr>
          <w:rFonts w:ascii="Times New Roman" w:eastAsia="SimSun" w:hAnsi="Times New Roman"/>
          <w:i/>
          <w:kern w:val="1"/>
          <w:sz w:val="24"/>
          <w:szCs w:val="24"/>
          <w:lang w:val="en-CA" w:eastAsia="hi-IN" w:bidi="hi-IN"/>
        </w:rPr>
        <w:t>Expulsions. Brutality and Complexity in the Global Economy</w:t>
      </w:r>
      <w:r>
        <w:rPr>
          <w:rFonts w:ascii="Times New Roman" w:eastAsia="SimSun" w:hAnsi="Times New Roman"/>
          <w:kern w:val="1"/>
          <w:sz w:val="24"/>
          <w:szCs w:val="24"/>
          <w:lang w:val="en-CA" w:eastAsia="hi-IN" w:bidi="hi-IN"/>
        </w:rPr>
        <w:t>.</w:t>
      </w:r>
    </w:p>
    <w:p w:rsidR="0090719B" w:rsidRPr="00431111" w:rsidRDefault="0090719B" w:rsidP="00431111">
      <w:pPr>
        <w:widowControl w:val="0"/>
        <w:suppressLineNumbers/>
        <w:spacing w:after="0" w:line="240" w:lineRule="auto"/>
        <w:ind w:left="709" w:hanging="142"/>
        <w:rPr>
          <w:rFonts w:ascii="Times New Roman" w:eastAsia="SimSun" w:hAnsi="Times New Roman"/>
          <w:i/>
          <w:kern w:val="1"/>
          <w:sz w:val="24"/>
          <w:szCs w:val="24"/>
          <w:lang w:val="en-CA" w:eastAsia="hi-IN" w:bidi="hi-IN"/>
        </w:rPr>
      </w:pPr>
      <w:r w:rsidRPr="00431111">
        <w:rPr>
          <w:rFonts w:ascii="Times New Roman" w:eastAsia="SimSun" w:hAnsi="Times New Roman"/>
          <w:kern w:val="1"/>
          <w:sz w:val="24"/>
          <w:szCs w:val="24"/>
          <w:lang w:val="en-CA" w:eastAsia="hi-IN" w:bidi="hi-IN"/>
        </w:rPr>
        <w:t xml:space="preserve">Cambridge: The Belknap Press of Harvard University Press. </w:t>
      </w:r>
    </w:p>
    <w:p w:rsidR="0090719B" w:rsidRPr="00431111" w:rsidRDefault="0090719B" w:rsidP="00431111">
      <w:pPr>
        <w:widowControl w:val="0"/>
        <w:suppressLineNumbers/>
        <w:spacing w:after="0" w:line="240" w:lineRule="auto"/>
        <w:ind w:left="709" w:hanging="142"/>
        <w:rPr>
          <w:rFonts w:ascii="Times New Roman" w:eastAsia="SimSun" w:hAnsi="Times New Roman"/>
          <w:kern w:val="1"/>
          <w:sz w:val="24"/>
          <w:szCs w:val="24"/>
          <w:lang w:val="fr-CA" w:eastAsia="hi-IN" w:bidi="hi-IN"/>
        </w:rPr>
      </w:pPr>
      <w:r w:rsidRPr="00431111">
        <w:rPr>
          <w:rFonts w:ascii="Times New Roman" w:eastAsia="SimSun" w:hAnsi="Times New Roman"/>
          <w:kern w:val="1"/>
          <w:sz w:val="24"/>
          <w:szCs w:val="24"/>
          <w:lang w:val="fr-CA" w:eastAsia="hi-IN" w:bidi="hi-IN"/>
        </w:rPr>
        <w:t xml:space="preserve">––– (2009). </w:t>
      </w:r>
      <w:r w:rsidRPr="00431111">
        <w:rPr>
          <w:rFonts w:ascii="Times New Roman" w:eastAsia="SimSun" w:hAnsi="Times New Roman"/>
          <w:i/>
          <w:iCs/>
          <w:kern w:val="1"/>
          <w:sz w:val="24"/>
          <w:szCs w:val="24"/>
          <w:lang w:val="fr-CA" w:eastAsia="hi-IN" w:bidi="hi-IN"/>
        </w:rPr>
        <w:t>Globalisation. Une sociologie</w:t>
      </w:r>
      <w:r w:rsidRPr="00431111">
        <w:rPr>
          <w:rFonts w:ascii="Times New Roman" w:eastAsia="SimSun" w:hAnsi="Times New Roman"/>
          <w:iCs/>
          <w:kern w:val="1"/>
          <w:sz w:val="24"/>
          <w:szCs w:val="24"/>
          <w:lang w:val="fr-CA" w:eastAsia="hi-IN" w:bidi="hi-IN"/>
        </w:rPr>
        <w:t>.</w:t>
      </w:r>
      <w:r w:rsidRPr="00431111">
        <w:rPr>
          <w:rFonts w:ascii="Times New Roman" w:eastAsia="SimSun" w:hAnsi="Times New Roman"/>
          <w:kern w:val="1"/>
          <w:sz w:val="24"/>
          <w:szCs w:val="24"/>
          <w:lang w:val="fr-CA" w:eastAsia="hi-IN" w:bidi="hi-IN"/>
        </w:rPr>
        <w:t xml:space="preserve"> Paris: Gallimard. </w:t>
      </w:r>
    </w:p>
    <w:p w:rsidR="0090719B" w:rsidRPr="00431111" w:rsidRDefault="0090719B" w:rsidP="00431111">
      <w:pPr>
        <w:widowControl w:val="0"/>
        <w:suppressLineNumbers/>
        <w:spacing w:after="0" w:line="240" w:lineRule="auto"/>
        <w:ind w:left="709" w:hanging="142"/>
        <w:rPr>
          <w:rFonts w:ascii="Times New Roman" w:eastAsia="SimSun" w:hAnsi="Times New Roman"/>
          <w:kern w:val="1"/>
          <w:sz w:val="24"/>
          <w:szCs w:val="24"/>
          <w:lang w:val="es-ES" w:eastAsia="hi-IN" w:bidi="hi-IN"/>
        </w:rPr>
      </w:pPr>
      <w:r>
        <w:rPr>
          <w:rFonts w:ascii="Times New Roman" w:eastAsia="SimSun" w:hAnsi="Times New Roman"/>
          <w:kern w:val="1"/>
          <w:sz w:val="24"/>
          <w:szCs w:val="24"/>
          <w:lang w:val="es-ES" w:eastAsia="hi-IN" w:bidi="hi-IN"/>
        </w:rPr>
        <w:t>Svampa, M. (Ed.</w:t>
      </w:r>
      <w:r w:rsidRPr="00431111">
        <w:rPr>
          <w:rFonts w:ascii="Times New Roman" w:eastAsia="SimSun" w:hAnsi="Times New Roman"/>
          <w:kern w:val="1"/>
          <w:sz w:val="24"/>
          <w:szCs w:val="24"/>
          <w:lang w:val="es-ES" w:eastAsia="hi-IN" w:bidi="hi-IN"/>
        </w:rPr>
        <w:t>)</w:t>
      </w:r>
      <w:r>
        <w:rPr>
          <w:rFonts w:ascii="Times New Roman" w:eastAsia="SimSun" w:hAnsi="Times New Roman"/>
          <w:kern w:val="1"/>
          <w:sz w:val="24"/>
          <w:szCs w:val="24"/>
          <w:lang w:val="es-ES" w:eastAsia="hi-IN" w:bidi="hi-IN"/>
        </w:rPr>
        <w:t>.</w:t>
      </w:r>
      <w:r w:rsidRPr="00431111">
        <w:rPr>
          <w:rFonts w:ascii="Times New Roman" w:eastAsia="SimSun" w:hAnsi="Times New Roman"/>
          <w:i/>
          <w:kern w:val="1"/>
          <w:sz w:val="24"/>
          <w:szCs w:val="24"/>
          <w:lang w:val="es-ES" w:eastAsia="hi-IN" w:bidi="hi-IN"/>
        </w:rPr>
        <w:t xml:space="preserve">El desarrollo en </w:t>
      </w:r>
      <w:r w:rsidRPr="00431111">
        <w:rPr>
          <w:rFonts w:ascii="Times New Roman" w:eastAsia="SimSun" w:hAnsi="Times New Roman"/>
          <w:kern w:val="1"/>
          <w:sz w:val="24"/>
          <w:szCs w:val="24"/>
          <w:lang w:val="es-ES" w:eastAsia="hi-IN" w:bidi="hi-IN"/>
        </w:rPr>
        <w:t>disputa: Actores</w:t>
      </w:r>
      <w:r w:rsidRPr="00431111">
        <w:rPr>
          <w:rFonts w:ascii="Times New Roman" w:eastAsia="SimSun" w:hAnsi="Times New Roman"/>
          <w:i/>
          <w:kern w:val="1"/>
          <w:sz w:val="24"/>
          <w:szCs w:val="24"/>
          <w:lang w:val="es-ES" w:eastAsia="hi-IN" w:bidi="hi-IN"/>
        </w:rPr>
        <w:t>, conflictos y modelos de desarrollo en la Argentina contemporánea</w:t>
      </w:r>
      <w:r w:rsidRPr="00431111">
        <w:rPr>
          <w:rFonts w:ascii="Times New Roman" w:eastAsia="SimSun" w:hAnsi="Times New Roman"/>
          <w:kern w:val="1"/>
          <w:sz w:val="24"/>
          <w:szCs w:val="24"/>
          <w:lang w:val="es-ES" w:eastAsia="hi-IN" w:bidi="hi-IN"/>
        </w:rPr>
        <w:t xml:space="preserve">. Provincia de Buenos Aires: Universidad Nacional General Sarmiento. </w:t>
      </w:r>
    </w:p>
    <w:p w:rsidR="0090719B" w:rsidRPr="00F96878" w:rsidRDefault="0090719B" w:rsidP="00431111">
      <w:pPr>
        <w:widowControl w:val="0"/>
        <w:spacing w:after="0" w:line="240" w:lineRule="auto"/>
        <w:ind w:left="709" w:right="23" w:hanging="142"/>
        <w:rPr>
          <w:rFonts w:ascii="Times New Roman" w:eastAsia="SimSun" w:hAnsi="Times New Roman"/>
          <w:color w:val="333333"/>
          <w:kern w:val="1"/>
          <w:sz w:val="24"/>
          <w:szCs w:val="24"/>
          <w:lang w:val="es-ES" w:eastAsia="hi-IN" w:bidi="hi-IN"/>
        </w:rPr>
      </w:pPr>
      <w:r>
        <w:rPr>
          <w:rFonts w:ascii="Times New Roman" w:eastAsia="SimSun" w:hAnsi="Times New Roman"/>
          <w:kern w:val="1"/>
          <w:sz w:val="24"/>
          <w:szCs w:val="24"/>
          <w:lang w:val="es-ES" w:eastAsia="hi-IN" w:bidi="hi-IN"/>
        </w:rPr>
        <w:t>Svampa, M. y Viale, E</w:t>
      </w:r>
      <w:r w:rsidRPr="00431111">
        <w:rPr>
          <w:rFonts w:ascii="Times New Roman" w:eastAsia="SimSun" w:hAnsi="Times New Roman"/>
          <w:kern w:val="1"/>
          <w:sz w:val="24"/>
          <w:szCs w:val="24"/>
          <w:lang w:val="es-ES" w:eastAsia="hi-IN" w:bidi="hi-IN"/>
        </w:rPr>
        <w:t xml:space="preserve">. </w:t>
      </w:r>
      <w:r>
        <w:rPr>
          <w:rFonts w:ascii="Times New Roman" w:eastAsia="SimSun" w:hAnsi="Times New Roman"/>
          <w:kern w:val="1"/>
          <w:sz w:val="24"/>
          <w:szCs w:val="24"/>
          <w:lang w:val="es-ES" w:eastAsia="hi-IN" w:bidi="hi-IN"/>
        </w:rPr>
        <w:t>(</w:t>
      </w:r>
      <w:r w:rsidRPr="00431111">
        <w:rPr>
          <w:rFonts w:ascii="Times New Roman" w:eastAsia="SimSun" w:hAnsi="Times New Roman"/>
          <w:kern w:val="1"/>
          <w:sz w:val="24"/>
          <w:szCs w:val="24"/>
          <w:lang w:val="es-ES" w:eastAsia="hi-IN" w:bidi="hi-IN"/>
        </w:rPr>
        <w:t>2014</w:t>
      </w:r>
      <w:r>
        <w:rPr>
          <w:rFonts w:ascii="Times New Roman" w:eastAsia="SimSun" w:hAnsi="Times New Roman"/>
          <w:kern w:val="1"/>
          <w:sz w:val="24"/>
          <w:szCs w:val="24"/>
          <w:lang w:val="es-ES" w:eastAsia="hi-IN" w:bidi="hi-IN"/>
        </w:rPr>
        <w:t>)</w:t>
      </w:r>
      <w:r w:rsidRPr="00431111">
        <w:rPr>
          <w:rFonts w:ascii="Times New Roman" w:eastAsia="SimSun" w:hAnsi="Times New Roman"/>
          <w:kern w:val="1"/>
          <w:sz w:val="24"/>
          <w:szCs w:val="24"/>
          <w:lang w:val="es-ES" w:eastAsia="hi-IN" w:bidi="hi-IN"/>
        </w:rPr>
        <w:t xml:space="preserve">. </w:t>
      </w:r>
      <w:r w:rsidRPr="00431111">
        <w:rPr>
          <w:rFonts w:ascii="Times New Roman" w:eastAsia="SimSun" w:hAnsi="Times New Roman"/>
          <w:i/>
          <w:kern w:val="1"/>
          <w:sz w:val="24"/>
          <w:szCs w:val="24"/>
          <w:lang w:val="es-ES" w:eastAsia="hi-IN" w:bidi="hi-IN"/>
        </w:rPr>
        <w:t>Maldesarrollo: La Argentina del extractivismo y el despojo.</w:t>
      </w:r>
      <w:r w:rsidRPr="00F96878">
        <w:rPr>
          <w:rFonts w:ascii="Times New Roman" w:eastAsia="SimSun" w:hAnsi="Times New Roman"/>
          <w:kern w:val="1"/>
          <w:sz w:val="24"/>
          <w:szCs w:val="24"/>
          <w:lang w:val="es-ES" w:eastAsia="hi-IN" w:bidi="hi-IN"/>
        </w:rPr>
        <w:t>Buenos Aires: Katz.</w:t>
      </w:r>
    </w:p>
    <w:p w:rsidR="0090719B" w:rsidRPr="00431111" w:rsidRDefault="0090719B" w:rsidP="00431111">
      <w:pPr>
        <w:widowControl w:val="0"/>
        <w:spacing w:after="0" w:line="240" w:lineRule="auto"/>
        <w:ind w:left="709" w:right="23" w:hanging="142"/>
        <w:rPr>
          <w:rFonts w:ascii="Times New Roman" w:eastAsia="SimSun" w:hAnsi="Times New Roman"/>
          <w:kern w:val="1"/>
          <w:sz w:val="24"/>
          <w:szCs w:val="24"/>
          <w:lang w:val="fr-CA" w:eastAsia="hi-IN" w:bidi="hi-IN"/>
        </w:rPr>
      </w:pPr>
      <w:r w:rsidRPr="00431111">
        <w:rPr>
          <w:rFonts w:ascii="Times New Roman" w:eastAsia="SimSun" w:hAnsi="Times New Roman"/>
          <w:kern w:val="1"/>
          <w:sz w:val="24"/>
          <w:szCs w:val="24"/>
          <w:lang w:val="fr-CA" w:eastAsia="hi-IN" w:bidi="hi-IN"/>
        </w:rPr>
        <w:t xml:space="preserve">Svampa, M. (2011). «Néo-“développementisme” extractiviste, gouvernements et mouvements sociaux en Amérique latine», </w:t>
      </w:r>
      <w:r w:rsidRPr="00431111">
        <w:rPr>
          <w:rFonts w:ascii="Times New Roman" w:eastAsia="SimSun" w:hAnsi="Times New Roman"/>
          <w:i/>
          <w:kern w:val="1"/>
          <w:sz w:val="24"/>
          <w:szCs w:val="24"/>
          <w:lang w:val="fr-CA" w:eastAsia="hi-IN" w:bidi="hi-IN"/>
        </w:rPr>
        <w:t>Problèmes d'Amérique latine</w:t>
      </w:r>
      <w:r w:rsidRPr="00431111">
        <w:rPr>
          <w:rFonts w:ascii="Times New Roman" w:eastAsia="SimSun" w:hAnsi="Times New Roman"/>
          <w:kern w:val="1"/>
          <w:sz w:val="24"/>
          <w:szCs w:val="24"/>
          <w:lang w:val="fr-CA" w:eastAsia="hi-IN" w:bidi="hi-IN"/>
        </w:rPr>
        <w:t xml:space="preserve"> 3 (81), 101-127.</w:t>
      </w:r>
    </w:p>
    <w:p w:rsidR="0090719B" w:rsidRPr="00431111" w:rsidRDefault="0090719B" w:rsidP="00431111">
      <w:pPr>
        <w:widowControl w:val="0"/>
        <w:spacing w:after="0" w:line="240" w:lineRule="auto"/>
        <w:ind w:left="709" w:hanging="142"/>
        <w:rPr>
          <w:rFonts w:ascii="Times New Roman" w:eastAsia="SimSun" w:hAnsi="Times New Roman"/>
          <w:i/>
          <w:kern w:val="1"/>
          <w:sz w:val="24"/>
          <w:szCs w:val="24"/>
          <w:lang w:val="es-ES" w:eastAsia="hi-IN" w:bidi="hi-IN"/>
        </w:rPr>
      </w:pPr>
      <w:r>
        <w:rPr>
          <w:rFonts w:ascii="Times New Roman" w:eastAsia="SimSun" w:hAnsi="Times New Roman"/>
          <w:kern w:val="1"/>
          <w:sz w:val="24"/>
          <w:szCs w:val="24"/>
          <w:lang w:val="es-ES" w:eastAsia="hi-IN" w:bidi="hi-IN"/>
        </w:rPr>
        <w:t>Svampa, M. y Antonelli, M. A. (Eds.</w:t>
      </w:r>
      <w:r w:rsidRPr="00431111">
        <w:rPr>
          <w:rFonts w:ascii="Times New Roman" w:eastAsia="SimSun" w:hAnsi="Times New Roman"/>
          <w:kern w:val="1"/>
          <w:sz w:val="24"/>
          <w:szCs w:val="24"/>
          <w:lang w:val="es-ES" w:eastAsia="hi-IN" w:bidi="hi-IN"/>
        </w:rPr>
        <w:t xml:space="preserve">). </w:t>
      </w:r>
      <w:r>
        <w:rPr>
          <w:rFonts w:ascii="Times New Roman" w:eastAsia="SimSun" w:hAnsi="Times New Roman"/>
          <w:kern w:val="1"/>
          <w:sz w:val="24"/>
          <w:szCs w:val="24"/>
          <w:lang w:val="es-ES" w:eastAsia="hi-IN" w:bidi="hi-IN"/>
        </w:rPr>
        <w:t>(</w:t>
      </w:r>
      <w:r w:rsidRPr="00431111">
        <w:rPr>
          <w:rFonts w:ascii="Times New Roman" w:eastAsia="SimSun" w:hAnsi="Times New Roman"/>
          <w:kern w:val="1"/>
          <w:sz w:val="24"/>
          <w:szCs w:val="24"/>
          <w:lang w:eastAsia="hi-IN" w:bidi="hi-IN"/>
        </w:rPr>
        <w:t>2009</w:t>
      </w:r>
      <w:r>
        <w:rPr>
          <w:rFonts w:ascii="Times New Roman" w:eastAsia="SimSun" w:hAnsi="Times New Roman"/>
          <w:kern w:val="1"/>
          <w:sz w:val="24"/>
          <w:szCs w:val="24"/>
          <w:lang w:eastAsia="hi-IN" w:bidi="hi-IN"/>
        </w:rPr>
        <w:t>)</w:t>
      </w:r>
      <w:r w:rsidRPr="00431111">
        <w:rPr>
          <w:rFonts w:ascii="Times New Roman" w:eastAsia="SimSun" w:hAnsi="Times New Roman"/>
          <w:kern w:val="1"/>
          <w:sz w:val="24"/>
          <w:szCs w:val="24"/>
          <w:lang w:eastAsia="hi-IN" w:bidi="hi-IN"/>
        </w:rPr>
        <w:t xml:space="preserve">. </w:t>
      </w:r>
      <w:r w:rsidRPr="00431111">
        <w:rPr>
          <w:rFonts w:ascii="Times New Roman" w:eastAsia="SimSun" w:hAnsi="Times New Roman"/>
          <w:i/>
          <w:kern w:val="1"/>
          <w:sz w:val="24"/>
          <w:szCs w:val="24"/>
          <w:lang w:eastAsia="hi-IN" w:bidi="hi-IN"/>
        </w:rPr>
        <w:t>Minería transnacional</w:t>
      </w:r>
      <w:r w:rsidRPr="00431111">
        <w:rPr>
          <w:rFonts w:ascii="Times New Roman" w:eastAsia="SimSun" w:hAnsi="Times New Roman"/>
          <w:i/>
          <w:kern w:val="1"/>
          <w:sz w:val="24"/>
          <w:szCs w:val="24"/>
          <w:lang w:val="es-ES" w:eastAsia="hi-IN" w:bidi="hi-IN"/>
        </w:rPr>
        <w:t xml:space="preserve">, </w:t>
      </w:r>
    </w:p>
    <w:p w:rsidR="0090719B" w:rsidRPr="00431111" w:rsidRDefault="0090719B" w:rsidP="00431111">
      <w:pPr>
        <w:widowControl w:val="0"/>
        <w:spacing w:after="0" w:line="240" w:lineRule="auto"/>
        <w:ind w:left="709" w:hanging="142"/>
        <w:rPr>
          <w:rFonts w:ascii="Times New Roman" w:eastAsia="SimSun" w:hAnsi="Times New Roman"/>
          <w:kern w:val="1"/>
          <w:sz w:val="24"/>
          <w:szCs w:val="24"/>
          <w:lang w:val="es-ES" w:eastAsia="hi-IN" w:bidi="hi-IN"/>
        </w:rPr>
      </w:pPr>
      <w:r w:rsidRPr="00431111">
        <w:rPr>
          <w:rFonts w:ascii="Times New Roman" w:eastAsia="SimSun" w:hAnsi="Times New Roman"/>
          <w:i/>
          <w:kern w:val="1"/>
          <w:sz w:val="24"/>
          <w:szCs w:val="24"/>
          <w:lang w:val="es-ES" w:eastAsia="hi-IN" w:bidi="hi-IN"/>
        </w:rPr>
        <w:t>narrativas del desarrollo y resistencias sociales</w:t>
      </w:r>
      <w:r w:rsidRPr="00431111">
        <w:rPr>
          <w:rFonts w:ascii="Times New Roman" w:eastAsia="SimSun" w:hAnsi="Times New Roman"/>
          <w:kern w:val="1"/>
          <w:sz w:val="24"/>
          <w:szCs w:val="24"/>
          <w:lang w:val="es-ES" w:eastAsia="hi-IN" w:bidi="hi-IN"/>
        </w:rPr>
        <w:t xml:space="preserve">. Buenos Aires: Biblos. </w:t>
      </w:r>
    </w:p>
    <w:p w:rsidR="0090719B" w:rsidRPr="00431111" w:rsidRDefault="0090719B" w:rsidP="00431111">
      <w:pPr>
        <w:widowControl w:val="0"/>
        <w:spacing w:after="0" w:line="240" w:lineRule="auto"/>
        <w:ind w:left="709" w:right="23" w:hanging="142"/>
        <w:rPr>
          <w:rFonts w:ascii="Times New Roman" w:hAnsi="Times New Roman"/>
          <w:sz w:val="24"/>
          <w:szCs w:val="24"/>
          <w:lang w:val="en-CA" w:eastAsia="fr-CA"/>
        </w:rPr>
      </w:pPr>
      <w:r w:rsidRPr="00431111">
        <w:rPr>
          <w:rFonts w:ascii="Times New Roman" w:hAnsi="Times New Roman"/>
          <w:sz w:val="24"/>
          <w:szCs w:val="24"/>
          <w:lang w:val="es-ES" w:eastAsia="fr-CA"/>
        </w:rPr>
        <w:t xml:space="preserve">Svampa </w:t>
      </w:r>
      <w:r>
        <w:rPr>
          <w:rFonts w:ascii="Times New Roman" w:hAnsi="Times New Roman"/>
          <w:sz w:val="24"/>
          <w:szCs w:val="24"/>
          <w:lang w:val="es-ES" w:eastAsia="fr-CA"/>
        </w:rPr>
        <w:t>M., Bottaro, L. y Sola, A.(</w:t>
      </w:r>
      <w:r w:rsidRPr="00431111">
        <w:rPr>
          <w:rFonts w:ascii="Times New Roman" w:hAnsi="Times New Roman"/>
          <w:sz w:val="24"/>
          <w:szCs w:val="24"/>
          <w:lang w:val="es-ES" w:eastAsia="fr-CA"/>
        </w:rPr>
        <w:t>2009</w:t>
      </w:r>
      <w:r>
        <w:rPr>
          <w:rFonts w:ascii="Times New Roman" w:hAnsi="Times New Roman"/>
          <w:sz w:val="24"/>
          <w:szCs w:val="24"/>
          <w:lang w:val="es-ES" w:eastAsia="fr-CA"/>
        </w:rPr>
        <w:t>)</w:t>
      </w:r>
      <w:r w:rsidRPr="00431111">
        <w:rPr>
          <w:rFonts w:ascii="Times New Roman" w:hAnsi="Times New Roman"/>
          <w:sz w:val="24"/>
          <w:szCs w:val="24"/>
          <w:lang w:val="es-ES" w:eastAsia="fr-CA"/>
        </w:rPr>
        <w:t>. “Los movimientos contra la minería metalífera a cielo abierto: escenarios y conflictos. Entre el “efecto Esque</w:t>
      </w:r>
      <w:r>
        <w:rPr>
          <w:rFonts w:ascii="Times New Roman" w:hAnsi="Times New Roman"/>
          <w:sz w:val="24"/>
          <w:szCs w:val="24"/>
          <w:lang w:val="es-ES" w:eastAsia="fr-CA"/>
        </w:rPr>
        <w:t>l” y el “efecto Alumbrera”, enSvampa, M. y</w:t>
      </w:r>
      <w:r w:rsidRPr="00431111">
        <w:rPr>
          <w:rFonts w:ascii="Times New Roman" w:hAnsi="Times New Roman"/>
          <w:sz w:val="24"/>
          <w:szCs w:val="24"/>
          <w:lang w:val="es-ES" w:eastAsia="fr-CA"/>
        </w:rPr>
        <w:t xml:space="preserve"> Antonelli</w:t>
      </w:r>
      <w:r>
        <w:rPr>
          <w:rFonts w:ascii="Times New Roman" w:hAnsi="Times New Roman"/>
          <w:sz w:val="24"/>
          <w:szCs w:val="24"/>
          <w:lang w:val="es-ES" w:eastAsia="fr-CA"/>
        </w:rPr>
        <w:t>, M, A, (E</w:t>
      </w:r>
      <w:r w:rsidRPr="00431111">
        <w:rPr>
          <w:rFonts w:ascii="Times New Roman" w:hAnsi="Times New Roman"/>
          <w:sz w:val="24"/>
          <w:szCs w:val="24"/>
          <w:lang w:val="es-ES" w:eastAsia="fr-CA"/>
        </w:rPr>
        <w:t xml:space="preserve">ds.), Minería </w:t>
      </w:r>
      <w:r w:rsidRPr="00431111">
        <w:rPr>
          <w:rFonts w:ascii="Times New Roman" w:hAnsi="Times New Roman"/>
          <w:i/>
          <w:sz w:val="24"/>
          <w:szCs w:val="24"/>
          <w:lang w:val="es-ES" w:eastAsia="fr-CA"/>
        </w:rPr>
        <w:t>transnacional, narrativas del desarrollo y resistencias sociales</w:t>
      </w:r>
      <w:r w:rsidRPr="00431111">
        <w:rPr>
          <w:rFonts w:ascii="Times New Roman" w:hAnsi="Times New Roman"/>
          <w:sz w:val="24"/>
          <w:szCs w:val="24"/>
          <w:lang w:val="es-ES" w:eastAsia="fr-CA"/>
        </w:rPr>
        <w:t xml:space="preserve">. </w:t>
      </w:r>
      <w:r w:rsidRPr="00431111">
        <w:rPr>
          <w:rFonts w:ascii="Times New Roman" w:hAnsi="Times New Roman"/>
          <w:sz w:val="24"/>
          <w:szCs w:val="24"/>
          <w:lang w:val="en-CA" w:eastAsia="fr-CA"/>
        </w:rPr>
        <w:t>Buenos Aires: Biblos, pp. 123-178.</w:t>
      </w:r>
    </w:p>
    <w:p w:rsidR="0090719B" w:rsidRPr="00431111" w:rsidRDefault="0090719B" w:rsidP="00431111">
      <w:pPr>
        <w:widowControl w:val="0"/>
        <w:spacing w:after="0" w:line="240" w:lineRule="auto"/>
        <w:ind w:left="709" w:right="23"/>
        <w:rPr>
          <w:rFonts w:ascii="Times New Roman" w:hAnsi="Times New Roman"/>
          <w:sz w:val="24"/>
          <w:szCs w:val="24"/>
          <w:lang w:val="en-CA" w:eastAsia="fr-CA"/>
        </w:rPr>
      </w:pPr>
      <w:r>
        <w:rPr>
          <w:rFonts w:ascii="Times New Roman" w:hAnsi="Times New Roman"/>
          <w:sz w:val="24"/>
          <w:szCs w:val="24"/>
          <w:lang w:val="en-CA" w:eastAsia="fr-CA"/>
        </w:rPr>
        <w:t>Taillant, J. (</w:t>
      </w:r>
      <w:r w:rsidRPr="00431111">
        <w:rPr>
          <w:rFonts w:ascii="Times New Roman" w:hAnsi="Times New Roman"/>
          <w:sz w:val="24"/>
          <w:szCs w:val="24"/>
          <w:lang w:val="en-CA" w:eastAsia="fr-CA"/>
        </w:rPr>
        <w:t>2012</w:t>
      </w:r>
      <w:r>
        <w:rPr>
          <w:rFonts w:ascii="Times New Roman" w:hAnsi="Times New Roman"/>
          <w:sz w:val="24"/>
          <w:szCs w:val="24"/>
          <w:lang w:val="en-CA" w:eastAsia="fr-CA"/>
        </w:rPr>
        <w:t>)</w:t>
      </w:r>
      <w:r w:rsidRPr="00431111">
        <w:rPr>
          <w:rFonts w:ascii="Times New Roman" w:hAnsi="Times New Roman"/>
          <w:sz w:val="24"/>
          <w:szCs w:val="24"/>
          <w:lang w:val="en-CA" w:eastAsia="fr-CA"/>
        </w:rPr>
        <w:t>. “The Human Right… to Glaciers</w:t>
      </w:r>
      <w:r w:rsidRPr="00431111">
        <w:rPr>
          <w:rFonts w:ascii="Times New Roman" w:hAnsi="Times New Roman"/>
          <w:i/>
          <w:sz w:val="24"/>
          <w:szCs w:val="24"/>
          <w:lang w:val="en-CA" w:eastAsia="fr-CA"/>
        </w:rPr>
        <w:t>?” Journal of Environmental law and litigation</w:t>
      </w:r>
      <w:r w:rsidRPr="00431111">
        <w:rPr>
          <w:rFonts w:ascii="Times New Roman" w:hAnsi="Times New Roman"/>
          <w:sz w:val="24"/>
          <w:szCs w:val="24"/>
          <w:lang w:val="en-CA" w:eastAsia="fr-CA"/>
        </w:rPr>
        <w:t>. 28,59-78.</w:t>
      </w:r>
    </w:p>
    <w:p w:rsidR="0090719B" w:rsidRPr="00431111" w:rsidRDefault="0090719B" w:rsidP="00431111">
      <w:pPr>
        <w:widowControl w:val="0"/>
        <w:spacing w:after="0" w:line="240" w:lineRule="auto"/>
        <w:ind w:left="709" w:hanging="142"/>
        <w:rPr>
          <w:rFonts w:ascii="Times New Roman" w:eastAsia="SimSun" w:hAnsi="Times New Roman"/>
          <w:kern w:val="1"/>
          <w:sz w:val="24"/>
          <w:szCs w:val="24"/>
          <w:lang w:val="en-CA" w:eastAsia="hi-IN" w:bidi="hi-IN"/>
        </w:rPr>
      </w:pPr>
      <w:r w:rsidRPr="00E22CB6">
        <w:rPr>
          <w:rFonts w:ascii="Times New Roman" w:eastAsia="SimSun" w:hAnsi="Times New Roman"/>
          <w:kern w:val="1"/>
          <w:sz w:val="24"/>
          <w:szCs w:val="24"/>
          <w:lang w:val="en-CA" w:eastAsia="hi-IN" w:bidi="hi-IN"/>
        </w:rPr>
        <w:t xml:space="preserve">  Walter, M. y Martínez-Alier</w:t>
      </w:r>
      <w:r w:rsidRPr="00E22CB6">
        <w:rPr>
          <w:rFonts w:ascii="Times New Roman" w:eastAsia="SimSun" w:hAnsi="Times New Roman"/>
          <w:i/>
          <w:iCs/>
          <w:kern w:val="1"/>
          <w:sz w:val="24"/>
          <w:szCs w:val="24"/>
          <w:lang w:val="en-CA" w:eastAsia="hi-IN" w:bidi="hi-IN"/>
        </w:rPr>
        <w:t xml:space="preserve">, </w:t>
      </w:r>
      <w:r w:rsidRPr="00E22CB6">
        <w:rPr>
          <w:rFonts w:ascii="Times New Roman" w:eastAsia="SimSun" w:hAnsi="Times New Roman"/>
          <w:iCs/>
          <w:kern w:val="1"/>
          <w:sz w:val="24"/>
          <w:szCs w:val="24"/>
          <w:lang w:val="en-CA" w:eastAsia="hi-IN" w:bidi="hi-IN"/>
        </w:rPr>
        <w:t xml:space="preserve">J. (2010). </w:t>
      </w:r>
      <w:r w:rsidRPr="00431111">
        <w:rPr>
          <w:rFonts w:ascii="Times New Roman" w:eastAsia="SimSun" w:hAnsi="Times New Roman"/>
          <w:kern w:val="1"/>
          <w:sz w:val="24"/>
          <w:szCs w:val="24"/>
          <w:lang w:val="en-CA" w:eastAsia="hi-IN" w:bidi="hi-IN"/>
        </w:rPr>
        <w:t xml:space="preserve">« How to Be Heard When Nobody Wants to Listen: Community Action against Mining in Argentina », </w:t>
      </w:r>
      <w:r w:rsidRPr="00431111">
        <w:rPr>
          <w:rFonts w:ascii="Times New Roman" w:eastAsia="SimSun" w:hAnsi="Times New Roman"/>
          <w:i/>
          <w:iCs/>
          <w:kern w:val="1"/>
          <w:sz w:val="24"/>
          <w:szCs w:val="24"/>
          <w:lang w:val="en-CA" w:eastAsia="hi-IN" w:bidi="hi-IN"/>
        </w:rPr>
        <w:t>Canadian Journal of Development Studies</w:t>
      </w:r>
      <w:r w:rsidRPr="00431111">
        <w:rPr>
          <w:rFonts w:ascii="Times New Roman" w:eastAsia="SimSun" w:hAnsi="Times New Roman"/>
          <w:kern w:val="1"/>
          <w:sz w:val="24"/>
          <w:szCs w:val="24"/>
          <w:lang w:val="en-CA" w:eastAsia="hi-IN" w:bidi="hi-IN"/>
        </w:rPr>
        <w:t xml:space="preserve">, </w:t>
      </w:r>
      <w:r w:rsidRPr="00431111">
        <w:rPr>
          <w:rFonts w:ascii="Times New Roman" w:eastAsia="SimSun" w:hAnsi="Times New Roman"/>
          <w:i/>
          <w:kern w:val="1"/>
          <w:sz w:val="24"/>
          <w:szCs w:val="24"/>
          <w:lang w:val="en-CA" w:eastAsia="hi-IN" w:bidi="hi-IN"/>
        </w:rPr>
        <w:t>30</w:t>
      </w:r>
      <w:r w:rsidRPr="00431111">
        <w:rPr>
          <w:rFonts w:ascii="Times New Roman" w:eastAsia="SimSun" w:hAnsi="Times New Roman"/>
          <w:kern w:val="1"/>
          <w:sz w:val="24"/>
          <w:szCs w:val="24"/>
          <w:lang w:val="en-CA" w:eastAsia="hi-IN" w:bidi="hi-IN"/>
        </w:rPr>
        <w:t xml:space="preserve">, 281-301. </w:t>
      </w:r>
    </w:p>
    <w:p w:rsidR="0090719B" w:rsidRPr="00431111" w:rsidRDefault="0090719B" w:rsidP="009C7353">
      <w:pPr>
        <w:pStyle w:val="Notedefin"/>
        <w:jc w:val="both"/>
        <w:rPr>
          <w:rFonts w:ascii="Times New Roman" w:hAnsi="Times New Roman"/>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546287"/>
      <w:docPartObj>
        <w:docPartGallery w:val="Page Numbers (Bottom of Page)"/>
        <w:docPartUnique/>
      </w:docPartObj>
    </w:sdtPr>
    <w:sdtEndPr/>
    <w:sdtContent>
      <w:p w:rsidR="0090719B" w:rsidRDefault="0090719B">
        <w:pPr>
          <w:pStyle w:val="Pieddepage"/>
          <w:jc w:val="right"/>
        </w:pPr>
        <w:r>
          <w:fldChar w:fldCharType="begin"/>
        </w:r>
        <w:r>
          <w:instrText>PAGE   \* MERGEFORMAT</w:instrText>
        </w:r>
        <w:r>
          <w:fldChar w:fldCharType="separate"/>
        </w:r>
        <w:r w:rsidR="007F2293" w:rsidRPr="007F2293">
          <w:rPr>
            <w:noProof/>
            <w:lang w:val="fr-FR"/>
          </w:rPr>
          <w:t>1</w:t>
        </w:r>
        <w:r>
          <w:rPr>
            <w:noProof/>
            <w:lang w:val="fr-FR"/>
          </w:rPr>
          <w:fldChar w:fldCharType="end"/>
        </w:r>
      </w:p>
    </w:sdtContent>
  </w:sdt>
  <w:p w:rsidR="0090719B" w:rsidRDefault="0090719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293" w:rsidRDefault="007F2293" w:rsidP="00841CA1">
      <w:pPr>
        <w:spacing w:after="0" w:line="240" w:lineRule="auto"/>
      </w:pPr>
      <w:r>
        <w:separator/>
      </w:r>
    </w:p>
  </w:footnote>
  <w:footnote w:type="continuationSeparator" w:id="0">
    <w:p w:rsidR="007F2293" w:rsidRDefault="007F2293" w:rsidP="00841C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77C"/>
    <w:multiLevelType w:val="hybridMultilevel"/>
    <w:tmpl w:val="E0E425D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DBD4A6A"/>
    <w:multiLevelType w:val="hybridMultilevel"/>
    <w:tmpl w:val="AA0E6D0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2DAC60DA"/>
    <w:multiLevelType w:val="hybridMultilevel"/>
    <w:tmpl w:val="BF12CC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2F772E7B"/>
    <w:multiLevelType w:val="hybridMultilevel"/>
    <w:tmpl w:val="A3C09808"/>
    <w:lvl w:ilvl="0" w:tplc="0E6463CA">
      <w:numFmt w:val="bullet"/>
      <w:lvlText w:val="-"/>
      <w:lvlJc w:val="left"/>
      <w:pPr>
        <w:ind w:left="720" w:hanging="360"/>
      </w:pPr>
      <w:rPr>
        <w:rFonts w:ascii="Calibri" w:eastAsia="Times New Roman"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69116FD"/>
    <w:multiLevelType w:val="hybridMultilevel"/>
    <w:tmpl w:val="B54C956A"/>
    <w:lvl w:ilvl="0" w:tplc="0C0C000F">
      <w:start w:val="1"/>
      <w:numFmt w:val="decimal"/>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5">
    <w:nsid w:val="3DAE7CFA"/>
    <w:multiLevelType w:val="hybridMultilevel"/>
    <w:tmpl w:val="4888F216"/>
    <w:lvl w:ilvl="0" w:tplc="0C0C000F">
      <w:start w:val="1"/>
      <w:numFmt w:val="decimal"/>
      <w:lvlText w:val="%1."/>
      <w:lvlJc w:val="left"/>
      <w:pPr>
        <w:ind w:left="644"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74C90465"/>
    <w:multiLevelType w:val="hybridMultilevel"/>
    <w:tmpl w:val="7BD0599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E1NDY1NDM3NDQxNjdW0lEKTi0uzszPAykwNKoFALARM9MtAAAA"/>
  </w:docVars>
  <w:rsids>
    <w:rsidRoot w:val="009C26A7"/>
    <w:rsid w:val="000047C6"/>
    <w:rsid w:val="00006FC5"/>
    <w:rsid w:val="00012BA3"/>
    <w:rsid w:val="0001596D"/>
    <w:rsid w:val="0002037C"/>
    <w:rsid w:val="00040ED6"/>
    <w:rsid w:val="0004397D"/>
    <w:rsid w:val="00047451"/>
    <w:rsid w:val="00051387"/>
    <w:rsid w:val="000828E1"/>
    <w:rsid w:val="0008440E"/>
    <w:rsid w:val="000903F9"/>
    <w:rsid w:val="0009223B"/>
    <w:rsid w:val="000A3449"/>
    <w:rsid w:val="000B121E"/>
    <w:rsid w:val="000B47D0"/>
    <w:rsid w:val="000B6BDE"/>
    <w:rsid w:val="000D2C1A"/>
    <w:rsid w:val="000F3A1C"/>
    <w:rsid w:val="000F7420"/>
    <w:rsid w:val="00106C44"/>
    <w:rsid w:val="00175D6F"/>
    <w:rsid w:val="001822D6"/>
    <w:rsid w:val="0018343E"/>
    <w:rsid w:val="00195E87"/>
    <w:rsid w:val="001A2E37"/>
    <w:rsid w:val="001C0B21"/>
    <w:rsid w:val="001D16C3"/>
    <w:rsid w:val="001E2AA3"/>
    <w:rsid w:val="001E6446"/>
    <w:rsid w:val="0021029B"/>
    <w:rsid w:val="00210CA0"/>
    <w:rsid w:val="00222016"/>
    <w:rsid w:val="0022331D"/>
    <w:rsid w:val="002258CD"/>
    <w:rsid w:val="0023393D"/>
    <w:rsid w:val="0024553A"/>
    <w:rsid w:val="002457AA"/>
    <w:rsid w:val="00256346"/>
    <w:rsid w:val="00264CB6"/>
    <w:rsid w:val="002667BD"/>
    <w:rsid w:val="002678FA"/>
    <w:rsid w:val="00272F83"/>
    <w:rsid w:val="00286370"/>
    <w:rsid w:val="002A18EE"/>
    <w:rsid w:val="002A424C"/>
    <w:rsid w:val="002A6048"/>
    <w:rsid w:val="002B00F2"/>
    <w:rsid w:val="002B0281"/>
    <w:rsid w:val="002B06A2"/>
    <w:rsid w:val="002C06D1"/>
    <w:rsid w:val="002D0AF1"/>
    <w:rsid w:val="002E07C4"/>
    <w:rsid w:val="00300637"/>
    <w:rsid w:val="00312CFE"/>
    <w:rsid w:val="00322D6C"/>
    <w:rsid w:val="00327D41"/>
    <w:rsid w:val="003340FD"/>
    <w:rsid w:val="00341CCF"/>
    <w:rsid w:val="00363A4A"/>
    <w:rsid w:val="003653A1"/>
    <w:rsid w:val="00366832"/>
    <w:rsid w:val="00370641"/>
    <w:rsid w:val="00375468"/>
    <w:rsid w:val="00386A0E"/>
    <w:rsid w:val="00395EA4"/>
    <w:rsid w:val="003B415E"/>
    <w:rsid w:val="003B5C9D"/>
    <w:rsid w:val="003E0772"/>
    <w:rsid w:val="003E51D3"/>
    <w:rsid w:val="00405747"/>
    <w:rsid w:val="00414254"/>
    <w:rsid w:val="00416C63"/>
    <w:rsid w:val="0042475C"/>
    <w:rsid w:val="004278DB"/>
    <w:rsid w:val="00431111"/>
    <w:rsid w:val="004353EB"/>
    <w:rsid w:val="00460333"/>
    <w:rsid w:val="004636E3"/>
    <w:rsid w:val="00465107"/>
    <w:rsid w:val="004663E1"/>
    <w:rsid w:val="004723AC"/>
    <w:rsid w:val="00475454"/>
    <w:rsid w:val="00483A23"/>
    <w:rsid w:val="004A0627"/>
    <w:rsid w:val="004B428C"/>
    <w:rsid w:val="004C2FE2"/>
    <w:rsid w:val="004C7074"/>
    <w:rsid w:val="004C78C3"/>
    <w:rsid w:val="004D5E07"/>
    <w:rsid w:val="004E0FE1"/>
    <w:rsid w:val="004E2D8E"/>
    <w:rsid w:val="004E6350"/>
    <w:rsid w:val="004E6489"/>
    <w:rsid w:val="004F1FB4"/>
    <w:rsid w:val="004F5570"/>
    <w:rsid w:val="0050577B"/>
    <w:rsid w:val="00506E83"/>
    <w:rsid w:val="0051315C"/>
    <w:rsid w:val="005176B0"/>
    <w:rsid w:val="005331EA"/>
    <w:rsid w:val="00533379"/>
    <w:rsid w:val="005351BD"/>
    <w:rsid w:val="00536288"/>
    <w:rsid w:val="005435E7"/>
    <w:rsid w:val="00553064"/>
    <w:rsid w:val="005A1459"/>
    <w:rsid w:val="005A593B"/>
    <w:rsid w:val="005B1986"/>
    <w:rsid w:val="005C5CEF"/>
    <w:rsid w:val="005C6E16"/>
    <w:rsid w:val="005D0AE4"/>
    <w:rsid w:val="0061237C"/>
    <w:rsid w:val="006143D1"/>
    <w:rsid w:val="00614509"/>
    <w:rsid w:val="00624869"/>
    <w:rsid w:val="00627257"/>
    <w:rsid w:val="00631F47"/>
    <w:rsid w:val="0064686E"/>
    <w:rsid w:val="00650828"/>
    <w:rsid w:val="0066043D"/>
    <w:rsid w:val="006811A0"/>
    <w:rsid w:val="00687AEC"/>
    <w:rsid w:val="006A57DA"/>
    <w:rsid w:val="006A7349"/>
    <w:rsid w:val="006C2873"/>
    <w:rsid w:val="006C4829"/>
    <w:rsid w:val="006D7140"/>
    <w:rsid w:val="006D7D1B"/>
    <w:rsid w:val="006E30C5"/>
    <w:rsid w:val="006E5730"/>
    <w:rsid w:val="006F63CA"/>
    <w:rsid w:val="006F6417"/>
    <w:rsid w:val="007103F7"/>
    <w:rsid w:val="0077392B"/>
    <w:rsid w:val="0078117E"/>
    <w:rsid w:val="0078283F"/>
    <w:rsid w:val="00790A4D"/>
    <w:rsid w:val="007C07AB"/>
    <w:rsid w:val="007D10F0"/>
    <w:rsid w:val="007E33B0"/>
    <w:rsid w:val="007E4FB9"/>
    <w:rsid w:val="007E7A68"/>
    <w:rsid w:val="007F2293"/>
    <w:rsid w:val="00801EAE"/>
    <w:rsid w:val="008047BF"/>
    <w:rsid w:val="00812458"/>
    <w:rsid w:val="00822751"/>
    <w:rsid w:val="008229F8"/>
    <w:rsid w:val="00833240"/>
    <w:rsid w:val="00841CA1"/>
    <w:rsid w:val="00850137"/>
    <w:rsid w:val="00850CAD"/>
    <w:rsid w:val="00861112"/>
    <w:rsid w:val="0087140C"/>
    <w:rsid w:val="00875D67"/>
    <w:rsid w:val="00877E18"/>
    <w:rsid w:val="008A1732"/>
    <w:rsid w:val="008A2737"/>
    <w:rsid w:val="008A2D83"/>
    <w:rsid w:val="008B2B46"/>
    <w:rsid w:val="008C6E16"/>
    <w:rsid w:val="008D0A3A"/>
    <w:rsid w:val="008E220D"/>
    <w:rsid w:val="008E3371"/>
    <w:rsid w:val="008E4E3A"/>
    <w:rsid w:val="0090719B"/>
    <w:rsid w:val="00910A34"/>
    <w:rsid w:val="00930BAA"/>
    <w:rsid w:val="0094334D"/>
    <w:rsid w:val="00947B99"/>
    <w:rsid w:val="00956CBF"/>
    <w:rsid w:val="00966A8D"/>
    <w:rsid w:val="00975096"/>
    <w:rsid w:val="00997F87"/>
    <w:rsid w:val="009B26BD"/>
    <w:rsid w:val="009B5BAA"/>
    <w:rsid w:val="009C26A7"/>
    <w:rsid w:val="009C7353"/>
    <w:rsid w:val="009C7A19"/>
    <w:rsid w:val="009D7E09"/>
    <w:rsid w:val="009E4E3E"/>
    <w:rsid w:val="009E66B3"/>
    <w:rsid w:val="00A063F5"/>
    <w:rsid w:val="00A13430"/>
    <w:rsid w:val="00A21C87"/>
    <w:rsid w:val="00A24D53"/>
    <w:rsid w:val="00A426C7"/>
    <w:rsid w:val="00A65A1F"/>
    <w:rsid w:val="00A84BB9"/>
    <w:rsid w:val="00AD492E"/>
    <w:rsid w:val="00AE3FA3"/>
    <w:rsid w:val="00AF5276"/>
    <w:rsid w:val="00B00133"/>
    <w:rsid w:val="00B02539"/>
    <w:rsid w:val="00B06B33"/>
    <w:rsid w:val="00B264FD"/>
    <w:rsid w:val="00B4752D"/>
    <w:rsid w:val="00B56C37"/>
    <w:rsid w:val="00B65A9F"/>
    <w:rsid w:val="00B72C80"/>
    <w:rsid w:val="00B82873"/>
    <w:rsid w:val="00B8694B"/>
    <w:rsid w:val="00B86FAC"/>
    <w:rsid w:val="00BA32AE"/>
    <w:rsid w:val="00BA5220"/>
    <w:rsid w:val="00BB25BC"/>
    <w:rsid w:val="00BD390F"/>
    <w:rsid w:val="00BE12A0"/>
    <w:rsid w:val="00BE5DE4"/>
    <w:rsid w:val="00C02D1E"/>
    <w:rsid w:val="00C04FD2"/>
    <w:rsid w:val="00C1462B"/>
    <w:rsid w:val="00C15F96"/>
    <w:rsid w:val="00C33D7D"/>
    <w:rsid w:val="00C34B71"/>
    <w:rsid w:val="00CE68C9"/>
    <w:rsid w:val="00CF6A43"/>
    <w:rsid w:val="00D036AE"/>
    <w:rsid w:val="00D05083"/>
    <w:rsid w:val="00D17981"/>
    <w:rsid w:val="00D21770"/>
    <w:rsid w:val="00D33E86"/>
    <w:rsid w:val="00D36EA3"/>
    <w:rsid w:val="00D753A3"/>
    <w:rsid w:val="00DC289A"/>
    <w:rsid w:val="00DE4FD5"/>
    <w:rsid w:val="00E001EF"/>
    <w:rsid w:val="00E024B6"/>
    <w:rsid w:val="00E0369C"/>
    <w:rsid w:val="00E07291"/>
    <w:rsid w:val="00E22CB6"/>
    <w:rsid w:val="00E26560"/>
    <w:rsid w:val="00E55910"/>
    <w:rsid w:val="00E62B74"/>
    <w:rsid w:val="00E705C4"/>
    <w:rsid w:val="00E83BA9"/>
    <w:rsid w:val="00E84DE0"/>
    <w:rsid w:val="00E91629"/>
    <w:rsid w:val="00E94C55"/>
    <w:rsid w:val="00E97632"/>
    <w:rsid w:val="00EB6EA2"/>
    <w:rsid w:val="00EC01A6"/>
    <w:rsid w:val="00EC6CE3"/>
    <w:rsid w:val="00EE0CEE"/>
    <w:rsid w:val="00EE316F"/>
    <w:rsid w:val="00EF38AE"/>
    <w:rsid w:val="00EF7D6E"/>
    <w:rsid w:val="00F21A83"/>
    <w:rsid w:val="00F339B7"/>
    <w:rsid w:val="00F36005"/>
    <w:rsid w:val="00F47660"/>
    <w:rsid w:val="00F50D69"/>
    <w:rsid w:val="00F63C4C"/>
    <w:rsid w:val="00F901F4"/>
    <w:rsid w:val="00F920F7"/>
    <w:rsid w:val="00F96878"/>
    <w:rsid w:val="00FA21AA"/>
    <w:rsid w:val="00FA55B0"/>
    <w:rsid w:val="00FA697C"/>
    <w:rsid w:val="00FD0756"/>
    <w:rsid w:val="00FD4026"/>
    <w:rsid w:val="00FD6D22"/>
    <w:rsid w:val="00FE3C93"/>
    <w:rsid w:val="00FF0C1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CA1"/>
    <w:pPr>
      <w:suppressAutoHyphens/>
    </w:pPr>
    <w:rPr>
      <w:rFonts w:ascii="Calibri" w:eastAsia="Times New Roman" w:hAnsi="Calibri" w:cs="Times New Roman"/>
      <w:lang w:val="es-A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C26A7"/>
    <w:pPr>
      <w:autoSpaceDE w:val="0"/>
      <w:autoSpaceDN w:val="0"/>
      <w:adjustRightInd w:val="0"/>
      <w:spacing w:after="0" w:line="240" w:lineRule="auto"/>
    </w:pPr>
    <w:rPr>
      <w:rFonts w:ascii="Times New Roman" w:hAnsi="Times New Roman" w:cs="Times New Roman"/>
      <w:color w:val="000000"/>
      <w:sz w:val="24"/>
      <w:szCs w:val="24"/>
    </w:rPr>
  </w:style>
  <w:style w:type="character" w:styleId="Appelnotedebasdep">
    <w:name w:val="footnote reference"/>
    <w:uiPriority w:val="99"/>
    <w:rsid w:val="00841CA1"/>
    <w:rPr>
      <w:vertAlign w:val="superscript"/>
    </w:rPr>
  </w:style>
  <w:style w:type="paragraph" w:styleId="Notedebasdepage">
    <w:name w:val="footnote text"/>
    <w:basedOn w:val="Normal"/>
    <w:link w:val="NotedebasdepageCar"/>
    <w:uiPriority w:val="99"/>
    <w:qFormat/>
    <w:rsid w:val="00841CA1"/>
    <w:rPr>
      <w:rFonts w:eastAsia="Calibri"/>
      <w:sz w:val="20"/>
      <w:szCs w:val="20"/>
      <w:lang w:val="es-MX"/>
    </w:rPr>
  </w:style>
  <w:style w:type="character" w:customStyle="1" w:styleId="NotedebasdepageCar">
    <w:name w:val="Note de bas de page Car"/>
    <w:basedOn w:val="Policepardfaut"/>
    <w:link w:val="Notedebasdepage"/>
    <w:uiPriority w:val="99"/>
    <w:rsid w:val="00841CA1"/>
    <w:rPr>
      <w:rFonts w:ascii="Calibri" w:eastAsia="Calibri" w:hAnsi="Calibri" w:cs="Times New Roman"/>
      <w:sz w:val="20"/>
      <w:szCs w:val="20"/>
      <w:lang w:val="es-MX" w:eastAsia="ar-SA"/>
    </w:rPr>
  </w:style>
  <w:style w:type="character" w:styleId="Marquedecommentaire">
    <w:name w:val="annotation reference"/>
    <w:rsid w:val="00841CA1"/>
    <w:rPr>
      <w:sz w:val="18"/>
      <w:szCs w:val="18"/>
    </w:rPr>
  </w:style>
  <w:style w:type="paragraph" w:styleId="Commentaire">
    <w:name w:val="annotation text"/>
    <w:basedOn w:val="Normal"/>
    <w:link w:val="CommentaireCar"/>
    <w:uiPriority w:val="99"/>
    <w:rsid w:val="00841CA1"/>
    <w:rPr>
      <w:sz w:val="24"/>
      <w:szCs w:val="24"/>
    </w:rPr>
  </w:style>
  <w:style w:type="character" w:customStyle="1" w:styleId="CommentaireCar">
    <w:name w:val="Commentaire Car"/>
    <w:basedOn w:val="Policepardfaut"/>
    <w:link w:val="Commentaire"/>
    <w:uiPriority w:val="99"/>
    <w:rsid w:val="00841CA1"/>
    <w:rPr>
      <w:rFonts w:ascii="Calibri" w:eastAsia="Times New Roman" w:hAnsi="Calibri" w:cs="Times New Roman"/>
      <w:sz w:val="24"/>
      <w:szCs w:val="24"/>
      <w:lang w:val="es-AR" w:eastAsia="ar-SA"/>
    </w:rPr>
  </w:style>
  <w:style w:type="paragraph" w:styleId="Textedebulles">
    <w:name w:val="Balloon Text"/>
    <w:basedOn w:val="Normal"/>
    <w:link w:val="TextedebullesCar"/>
    <w:uiPriority w:val="99"/>
    <w:semiHidden/>
    <w:unhideWhenUsed/>
    <w:rsid w:val="00841C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1CA1"/>
    <w:rPr>
      <w:rFonts w:ascii="Tahoma" w:eastAsia="Times New Roman" w:hAnsi="Tahoma" w:cs="Tahoma"/>
      <w:sz w:val="16"/>
      <w:szCs w:val="16"/>
      <w:lang w:val="es-AR" w:eastAsia="ar-SA"/>
    </w:rPr>
  </w:style>
  <w:style w:type="paragraph" w:styleId="Objetducommentaire">
    <w:name w:val="annotation subject"/>
    <w:basedOn w:val="Commentaire"/>
    <w:next w:val="Commentaire"/>
    <w:link w:val="ObjetducommentaireCar"/>
    <w:uiPriority w:val="99"/>
    <w:semiHidden/>
    <w:unhideWhenUsed/>
    <w:rsid w:val="00930BAA"/>
    <w:pPr>
      <w:spacing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30BAA"/>
    <w:rPr>
      <w:rFonts w:ascii="Calibri" w:eastAsia="Times New Roman" w:hAnsi="Calibri" w:cs="Times New Roman"/>
      <w:b/>
      <w:bCs/>
      <w:sz w:val="20"/>
      <w:szCs w:val="20"/>
      <w:lang w:val="es-AR" w:eastAsia="ar-SA"/>
    </w:rPr>
  </w:style>
  <w:style w:type="paragraph" w:styleId="NormalWeb">
    <w:name w:val="Normal (Web)"/>
    <w:basedOn w:val="Normal"/>
    <w:uiPriority w:val="99"/>
    <w:rsid w:val="00CF6A43"/>
    <w:pPr>
      <w:suppressAutoHyphens w:val="0"/>
      <w:spacing w:before="100" w:beforeAutospacing="1" w:after="100" w:afterAutospacing="1" w:line="240" w:lineRule="auto"/>
    </w:pPr>
    <w:rPr>
      <w:rFonts w:ascii="Times New Roman" w:hAnsi="Times New Roman"/>
      <w:sz w:val="24"/>
      <w:szCs w:val="24"/>
      <w:lang w:val="en-US" w:eastAsia="en-US"/>
    </w:rPr>
  </w:style>
  <w:style w:type="paragraph" w:styleId="Paragraphedeliste">
    <w:name w:val="List Paragraph"/>
    <w:basedOn w:val="Normal"/>
    <w:uiPriority w:val="34"/>
    <w:qFormat/>
    <w:rsid w:val="006143D1"/>
    <w:pPr>
      <w:suppressAutoHyphens w:val="0"/>
      <w:ind w:left="720"/>
      <w:contextualSpacing/>
    </w:pPr>
    <w:rPr>
      <w:rFonts w:eastAsia="Calibri"/>
      <w:lang w:val="fr-CA" w:eastAsia="en-US"/>
    </w:rPr>
  </w:style>
  <w:style w:type="paragraph" w:styleId="Notedefin">
    <w:name w:val="endnote text"/>
    <w:basedOn w:val="Normal"/>
    <w:link w:val="NotedefinCar"/>
    <w:uiPriority w:val="99"/>
    <w:semiHidden/>
    <w:unhideWhenUsed/>
    <w:rsid w:val="006143D1"/>
    <w:pPr>
      <w:suppressAutoHyphens w:val="0"/>
      <w:spacing w:after="0" w:line="240" w:lineRule="auto"/>
    </w:pPr>
    <w:rPr>
      <w:rFonts w:eastAsia="Calibri"/>
      <w:sz w:val="20"/>
      <w:szCs w:val="20"/>
      <w:lang w:val="fr-CA" w:eastAsia="en-US"/>
    </w:rPr>
  </w:style>
  <w:style w:type="character" w:customStyle="1" w:styleId="NotedefinCar">
    <w:name w:val="Note de fin Car"/>
    <w:basedOn w:val="Policepardfaut"/>
    <w:link w:val="Notedefin"/>
    <w:uiPriority w:val="99"/>
    <w:semiHidden/>
    <w:rsid w:val="006143D1"/>
    <w:rPr>
      <w:rFonts w:ascii="Calibri" w:eastAsia="Calibri" w:hAnsi="Calibri" w:cs="Times New Roman"/>
      <w:sz w:val="20"/>
      <w:szCs w:val="20"/>
      <w:lang w:val="fr-CA"/>
    </w:rPr>
  </w:style>
  <w:style w:type="character" w:styleId="Appeldenotedefin">
    <w:name w:val="endnote reference"/>
    <w:basedOn w:val="Policepardfaut"/>
    <w:uiPriority w:val="99"/>
    <w:semiHidden/>
    <w:unhideWhenUsed/>
    <w:rsid w:val="006143D1"/>
    <w:rPr>
      <w:vertAlign w:val="superscript"/>
    </w:rPr>
  </w:style>
  <w:style w:type="character" w:styleId="Lienhypertexte">
    <w:name w:val="Hyperlink"/>
    <w:uiPriority w:val="99"/>
    <w:unhideWhenUsed/>
    <w:rsid w:val="006143D1"/>
    <w:rPr>
      <w:color w:val="0000FF"/>
      <w:u w:val="single"/>
    </w:rPr>
  </w:style>
  <w:style w:type="paragraph" w:styleId="En-tte">
    <w:name w:val="header"/>
    <w:basedOn w:val="Normal"/>
    <w:link w:val="En-tteCar"/>
    <w:uiPriority w:val="99"/>
    <w:unhideWhenUsed/>
    <w:rsid w:val="000A3449"/>
    <w:pPr>
      <w:tabs>
        <w:tab w:val="center" w:pos="4320"/>
        <w:tab w:val="right" w:pos="8640"/>
      </w:tabs>
      <w:spacing w:after="0" w:line="240" w:lineRule="auto"/>
    </w:pPr>
  </w:style>
  <w:style w:type="character" w:customStyle="1" w:styleId="En-tteCar">
    <w:name w:val="En-tête Car"/>
    <w:basedOn w:val="Policepardfaut"/>
    <w:link w:val="En-tte"/>
    <w:uiPriority w:val="99"/>
    <w:rsid w:val="000A3449"/>
    <w:rPr>
      <w:rFonts w:ascii="Calibri" w:eastAsia="Times New Roman" w:hAnsi="Calibri" w:cs="Times New Roman"/>
      <w:lang w:val="es-AR" w:eastAsia="ar-SA"/>
    </w:rPr>
  </w:style>
  <w:style w:type="paragraph" w:styleId="Pieddepage">
    <w:name w:val="footer"/>
    <w:basedOn w:val="Normal"/>
    <w:link w:val="PieddepageCar"/>
    <w:uiPriority w:val="99"/>
    <w:unhideWhenUsed/>
    <w:rsid w:val="000A344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A3449"/>
    <w:rPr>
      <w:rFonts w:ascii="Calibri" w:eastAsia="Times New Roman" w:hAnsi="Calibri" w:cs="Times New Roman"/>
      <w:lang w:val="es-AR" w:eastAsia="ar-SA"/>
    </w:rPr>
  </w:style>
  <w:style w:type="character" w:customStyle="1" w:styleId="apple-converted-space">
    <w:name w:val="apple-converted-space"/>
    <w:basedOn w:val="Policepardfaut"/>
    <w:rsid w:val="00D753A3"/>
  </w:style>
  <w:style w:type="character" w:styleId="Accentuation">
    <w:name w:val="Emphasis"/>
    <w:basedOn w:val="Policepardfaut"/>
    <w:uiPriority w:val="20"/>
    <w:qFormat/>
    <w:rsid w:val="006C28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CA1"/>
    <w:pPr>
      <w:suppressAutoHyphens/>
    </w:pPr>
    <w:rPr>
      <w:rFonts w:ascii="Calibri" w:eastAsia="Times New Roman" w:hAnsi="Calibri" w:cs="Times New Roman"/>
      <w:lang w:val="es-A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C26A7"/>
    <w:pPr>
      <w:autoSpaceDE w:val="0"/>
      <w:autoSpaceDN w:val="0"/>
      <w:adjustRightInd w:val="0"/>
      <w:spacing w:after="0" w:line="240" w:lineRule="auto"/>
    </w:pPr>
    <w:rPr>
      <w:rFonts w:ascii="Times New Roman" w:hAnsi="Times New Roman" w:cs="Times New Roman"/>
      <w:color w:val="000000"/>
      <w:sz w:val="24"/>
      <w:szCs w:val="24"/>
    </w:rPr>
  </w:style>
  <w:style w:type="character" w:styleId="Appelnotedebasdep">
    <w:name w:val="footnote reference"/>
    <w:uiPriority w:val="99"/>
    <w:rsid w:val="00841CA1"/>
    <w:rPr>
      <w:vertAlign w:val="superscript"/>
    </w:rPr>
  </w:style>
  <w:style w:type="paragraph" w:styleId="Notedebasdepage">
    <w:name w:val="footnote text"/>
    <w:basedOn w:val="Normal"/>
    <w:link w:val="NotedebasdepageCar"/>
    <w:uiPriority w:val="99"/>
    <w:qFormat/>
    <w:rsid w:val="00841CA1"/>
    <w:rPr>
      <w:rFonts w:eastAsia="Calibri"/>
      <w:sz w:val="20"/>
      <w:szCs w:val="20"/>
      <w:lang w:val="es-MX"/>
    </w:rPr>
  </w:style>
  <w:style w:type="character" w:customStyle="1" w:styleId="NotedebasdepageCar">
    <w:name w:val="Note de bas de page Car"/>
    <w:basedOn w:val="Policepardfaut"/>
    <w:link w:val="Notedebasdepage"/>
    <w:uiPriority w:val="99"/>
    <w:rsid w:val="00841CA1"/>
    <w:rPr>
      <w:rFonts w:ascii="Calibri" w:eastAsia="Calibri" w:hAnsi="Calibri" w:cs="Times New Roman"/>
      <w:sz w:val="20"/>
      <w:szCs w:val="20"/>
      <w:lang w:val="es-MX" w:eastAsia="ar-SA"/>
    </w:rPr>
  </w:style>
  <w:style w:type="character" w:styleId="Marquedecommentaire">
    <w:name w:val="annotation reference"/>
    <w:rsid w:val="00841CA1"/>
    <w:rPr>
      <w:sz w:val="18"/>
      <w:szCs w:val="18"/>
    </w:rPr>
  </w:style>
  <w:style w:type="paragraph" w:styleId="Commentaire">
    <w:name w:val="annotation text"/>
    <w:basedOn w:val="Normal"/>
    <w:link w:val="CommentaireCar"/>
    <w:uiPriority w:val="99"/>
    <w:rsid w:val="00841CA1"/>
    <w:rPr>
      <w:sz w:val="24"/>
      <w:szCs w:val="24"/>
    </w:rPr>
  </w:style>
  <w:style w:type="character" w:customStyle="1" w:styleId="CommentaireCar">
    <w:name w:val="Commentaire Car"/>
    <w:basedOn w:val="Policepardfaut"/>
    <w:link w:val="Commentaire"/>
    <w:uiPriority w:val="99"/>
    <w:rsid w:val="00841CA1"/>
    <w:rPr>
      <w:rFonts w:ascii="Calibri" w:eastAsia="Times New Roman" w:hAnsi="Calibri" w:cs="Times New Roman"/>
      <w:sz w:val="24"/>
      <w:szCs w:val="24"/>
      <w:lang w:val="es-AR" w:eastAsia="ar-SA"/>
    </w:rPr>
  </w:style>
  <w:style w:type="paragraph" w:styleId="Textedebulles">
    <w:name w:val="Balloon Text"/>
    <w:basedOn w:val="Normal"/>
    <w:link w:val="TextedebullesCar"/>
    <w:uiPriority w:val="99"/>
    <w:semiHidden/>
    <w:unhideWhenUsed/>
    <w:rsid w:val="00841C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1CA1"/>
    <w:rPr>
      <w:rFonts w:ascii="Tahoma" w:eastAsia="Times New Roman" w:hAnsi="Tahoma" w:cs="Tahoma"/>
      <w:sz w:val="16"/>
      <w:szCs w:val="16"/>
      <w:lang w:val="es-AR" w:eastAsia="ar-SA"/>
    </w:rPr>
  </w:style>
  <w:style w:type="paragraph" w:styleId="Objetducommentaire">
    <w:name w:val="annotation subject"/>
    <w:basedOn w:val="Commentaire"/>
    <w:next w:val="Commentaire"/>
    <w:link w:val="ObjetducommentaireCar"/>
    <w:uiPriority w:val="99"/>
    <w:semiHidden/>
    <w:unhideWhenUsed/>
    <w:rsid w:val="00930BAA"/>
    <w:pPr>
      <w:spacing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30BAA"/>
    <w:rPr>
      <w:rFonts w:ascii="Calibri" w:eastAsia="Times New Roman" w:hAnsi="Calibri" w:cs="Times New Roman"/>
      <w:b/>
      <w:bCs/>
      <w:sz w:val="20"/>
      <w:szCs w:val="20"/>
      <w:lang w:val="es-AR" w:eastAsia="ar-SA"/>
    </w:rPr>
  </w:style>
  <w:style w:type="paragraph" w:styleId="NormalWeb">
    <w:name w:val="Normal (Web)"/>
    <w:basedOn w:val="Normal"/>
    <w:uiPriority w:val="99"/>
    <w:rsid w:val="00CF6A43"/>
    <w:pPr>
      <w:suppressAutoHyphens w:val="0"/>
      <w:spacing w:before="100" w:beforeAutospacing="1" w:after="100" w:afterAutospacing="1" w:line="240" w:lineRule="auto"/>
    </w:pPr>
    <w:rPr>
      <w:rFonts w:ascii="Times New Roman" w:hAnsi="Times New Roman"/>
      <w:sz w:val="24"/>
      <w:szCs w:val="24"/>
      <w:lang w:val="en-US" w:eastAsia="en-US"/>
    </w:rPr>
  </w:style>
  <w:style w:type="paragraph" w:styleId="Paragraphedeliste">
    <w:name w:val="List Paragraph"/>
    <w:basedOn w:val="Normal"/>
    <w:uiPriority w:val="34"/>
    <w:qFormat/>
    <w:rsid w:val="006143D1"/>
    <w:pPr>
      <w:suppressAutoHyphens w:val="0"/>
      <w:ind w:left="720"/>
      <w:contextualSpacing/>
    </w:pPr>
    <w:rPr>
      <w:rFonts w:eastAsia="Calibri"/>
      <w:lang w:val="fr-CA" w:eastAsia="en-US"/>
    </w:rPr>
  </w:style>
  <w:style w:type="paragraph" w:styleId="Notedefin">
    <w:name w:val="endnote text"/>
    <w:basedOn w:val="Normal"/>
    <w:link w:val="NotedefinCar"/>
    <w:uiPriority w:val="99"/>
    <w:semiHidden/>
    <w:unhideWhenUsed/>
    <w:rsid w:val="006143D1"/>
    <w:pPr>
      <w:suppressAutoHyphens w:val="0"/>
      <w:spacing w:after="0" w:line="240" w:lineRule="auto"/>
    </w:pPr>
    <w:rPr>
      <w:rFonts w:eastAsia="Calibri"/>
      <w:sz w:val="20"/>
      <w:szCs w:val="20"/>
      <w:lang w:val="fr-CA" w:eastAsia="en-US"/>
    </w:rPr>
  </w:style>
  <w:style w:type="character" w:customStyle="1" w:styleId="NotedefinCar">
    <w:name w:val="Note de fin Car"/>
    <w:basedOn w:val="Policepardfaut"/>
    <w:link w:val="Notedefin"/>
    <w:uiPriority w:val="99"/>
    <w:semiHidden/>
    <w:rsid w:val="006143D1"/>
    <w:rPr>
      <w:rFonts w:ascii="Calibri" w:eastAsia="Calibri" w:hAnsi="Calibri" w:cs="Times New Roman"/>
      <w:sz w:val="20"/>
      <w:szCs w:val="20"/>
      <w:lang w:val="fr-CA"/>
    </w:rPr>
  </w:style>
  <w:style w:type="character" w:styleId="Appeldenotedefin">
    <w:name w:val="endnote reference"/>
    <w:basedOn w:val="Policepardfaut"/>
    <w:uiPriority w:val="99"/>
    <w:semiHidden/>
    <w:unhideWhenUsed/>
    <w:rsid w:val="006143D1"/>
    <w:rPr>
      <w:vertAlign w:val="superscript"/>
    </w:rPr>
  </w:style>
  <w:style w:type="character" w:styleId="Lienhypertexte">
    <w:name w:val="Hyperlink"/>
    <w:uiPriority w:val="99"/>
    <w:unhideWhenUsed/>
    <w:rsid w:val="006143D1"/>
    <w:rPr>
      <w:color w:val="0000FF"/>
      <w:u w:val="single"/>
    </w:rPr>
  </w:style>
  <w:style w:type="paragraph" w:styleId="En-tte">
    <w:name w:val="header"/>
    <w:basedOn w:val="Normal"/>
    <w:link w:val="En-tteCar"/>
    <w:uiPriority w:val="99"/>
    <w:unhideWhenUsed/>
    <w:rsid w:val="000A3449"/>
    <w:pPr>
      <w:tabs>
        <w:tab w:val="center" w:pos="4320"/>
        <w:tab w:val="right" w:pos="8640"/>
      </w:tabs>
      <w:spacing w:after="0" w:line="240" w:lineRule="auto"/>
    </w:pPr>
  </w:style>
  <w:style w:type="character" w:customStyle="1" w:styleId="En-tteCar">
    <w:name w:val="En-tête Car"/>
    <w:basedOn w:val="Policepardfaut"/>
    <w:link w:val="En-tte"/>
    <w:uiPriority w:val="99"/>
    <w:rsid w:val="000A3449"/>
    <w:rPr>
      <w:rFonts w:ascii="Calibri" w:eastAsia="Times New Roman" w:hAnsi="Calibri" w:cs="Times New Roman"/>
      <w:lang w:val="es-AR" w:eastAsia="ar-SA"/>
    </w:rPr>
  </w:style>
  <w:style w:type="paragraph" w:styleId="Pieddepage">
    <w:name w:val="footer"/>
    <w:basedOn w:val="Normal"/>
    <w:link w:val="PieddepageCar"/>
    <w:uiPriority w:val="99"/>
    <w:unhideWhenUsed/>
    <w:rsid w:val="000A344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A3449"/>
    <w:rPr>
      <w:rFonts w:ascii="Calibri" w:eastAsia="Times New Roman" w:hAnsi="Calibri" w:cs="Times New Roman"/>
      <w:lang w:val="es-AR" w:eastAsia="ar-SA"/>
    </w:rPr>
  </w:style>
  <w:style w:type="character" w:customStyle="1" w:styleId="apple-converted-space">
    <w:name w:val="apple-converted-space"/>
    <w:basedOn w:val="Policepardfaut"/>
    <w:rsid w:val="00D753A3"/>
  </w:style>
  <w:style w:type="character" w:styleId="Accentuation">
    <w:name w:val="Emphasis"/>
    <w:basedOn w:val="Policepardfaut"/>
    <w:uiPriority w:val="20"/>
    <w:qFormat/>
    <w:rsid w:val="006C28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2" Type="http://schemas.openxmlformats.org/officeDocument/2006/relationships/hyperlink" Target="http://documents.worldbank.org/curated/en/552861477562038992/Argentina-An%C3%A1lisis-Ambiental-de-Pa%C3%ADs-serie-de-informes-t%C3%A9cnicos" TargetMode="External"/><Relationship Id="rId1" Type="http://schemas.openxmlformats.org/officeDocument/2006/relationships/hyperlink" Target="http://www.maristellasvampa.net/archivos/ddhh0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8B648-B326-4037-98B2-6A6723E5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6767</Words>
  <Characters>37223</Characters>
  <Application>Microsoft Office Word</Application>
  <DocSecurity>0</DocSecurity>
  <Lines>310</Lines>
  <Paragraphs>87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43903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ColInt</dc:creator>
  <cp:lastModifiedBy>Anne Caroline</cp:lastModifiedBy>
  <cp:revision>2</cp:revision>
  <cp:lastPrinted>2016-07-06T16:16:00Z</cp:lastPrinted>
  <dcterms:created xsi:type="dcterms:W3CDTF">2017-02-12T18:09:00Z</dcterms:created>
  <dcterms:modified xsi:type="dcterms:W3CDTF">2017-02-12T18:09:00Z</dcterms:modified>
</cp:coreProperties>
</file>